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after="0" w:line="360" w:lineRule="auto"/>
        <w:jc w:val="left"/>
        <w:outlineLvl w:val="9"/>
        <w:rPr>
          <w:sz w:val="36"/>
          <w:szCs w:val="36"/>
        </w:rPr>
      </w:pPr>
      <w:r>
        <w:rPr>
          <w:rFonts w:hint="eastAsia"/>
          <w:sz w:val="36"/>
          <w:szCs w:val="36"/>
        </w:rPr>
        <w:t>附件一：</w:t>
      </w:r>
    </w:p>
    <w:p>
      <w:pPr>
        <w:pStyle w:val="6"/>
        <w:spacing w:before="0" w:after="0" w:line="360" w:lineRule="auto"/>
        <w:outlineLvl w:val="9"/>
        <w:rPr>
          <w:sz w:val="36"/>
          <w:szCs w:val="36"/>
        </w:rPr>
      </w:pPr>
      <w:r>
        <w:rPr>
          <w:rFonts w:hint="eastAsia"/>
          <w:sz w:val="36"/>
          <w:szCs w:val="36"/>
        </w:rPr>
        <w:t>攀枝花学院相关信息</w:t>
      </w:r>
    </w:p>
    <w:p>
      <w:pPr>
        <w:spacing w:line="360" w:lineRule="auto"/>
        <w:rPr>
          <w:b/>
        </w:rPr>
      </w:pPr>
      <w:r>
        <w:rPr>
          <w:rFonts w:hint="eastAsia"/>
          <w:b/>
        </w:rPr>
        <w:t>一、学校基本情况</w:t>
      </w:r>
    </w:p>
    <w:p>
      <w:pPr>
        <w:spacing w:line="360" w:lineRule="auto"/>
        <w:ind w:firstLine="420" w:firstLineChars="200"/>
      </w:pPr>
      <w:r>
        <w:rPr>
          <w:rFonts w:hint="eastAsia"/>
        </w:rPr>
        <w:t>攀枝花学院坐落于中国著名的钒钛之都、阳光花城、康养胜地——攀枝花市，是教育部布点在川西南滇西北唯一一所以“钒钛+”“康养+”特色学科群为引领、多学科协调发展的综合型公办普通本科院校。学校坚持“立德树人、产教融合、应用为先”办学理念，全力打造“自律攀大人”文化品牌，以“自律”引领人才培养过程一流，立足攀西，面向西部，辐射全国，加快推进应用型一流大学建设。学校现占地1223亩，校舍建筑面积54.06万平米，固定资产总值11.13亿元，馆藏文献491.24万册。下设21个教学单位、1个科研单位，开设56个本科专业、8个专科专业，专业设置涵盖理、工、文、法、经、管、医、艺、农9个学科门类。在校生16000余人，生源覆盖全国28个省（自治区、直辖市）。现有职工1224人，其中专任教师948人，副高及以上专业技术职务人员418人，占专任教师的44.1％；硕士以上学位777人（其中博士学位245人），占专任教师的81.96％。享受国务院政府特殊津贴专家、四青人才、教学名师等国家、省市级专家、学者108人。</w:t>
      </w:r>
    </w:p>
    <w:p>
      <w:pPr>
        <w:spacing w:line="360" w:lineRule="auto"/>
        <w:ind w:firstLine="420" w:firstLineChars="200"/>
      </w:pPr>
      <w:r>
        <w:rPr>
          <w:rFonts w:hint="eastAsia"/>
        </w:rPr>
        <w:t>教学科研并重，成果丰硕。学校是四川省知识产权优势培育单位、四川省首批激励科技人员创新创业改革试点高校、四川省职务科技成果权属混合所有制改革试点单位、四川省引才引智基地。建有市级以上科研平台50个，其中国家钒钛检测重点实验室1个、省级科研平台（含重点实验室、工程技术研究中心等）27个，市级科研平台22个。近年来，学校承担各级各类科研项目1541，其中承担国家级项目10项、省级项目166项，获横向课题453项。发表理论研究成果4311篇，其中SCI、CSSCI、EI论文479篇。获得专利授权1284件，其中发明专利授权215件。获省部级科技进步17项，其中一等奖1项，二等奖4项。转化科技成果52项，创造社会效益12.7亿元。</w:t>
      </w:r>
    </w:p>
    <w:p>
      <w:pPr>
        <w:spacing w:line="360" w:lineRule="auto"/>
        <w:ind w:firstLine="420" w:firstLineChars="200"/>
      </w:pPr>
      <w:r>
        <w:rPr>
          <w:rFonts w:hint="eastAsia"/>
        </w:rPr>
        <w:t>育人体系完备，成才有道。学校围绕“自律”形成了一套科学合理规范、符合学校实际的学生自律管理制度，构建了学业指导与帮扶体系和大学生素质教育拓展体系。建立了完善的奖、助、贷、勤、减（免）、补六位一体的学生资助保障体系，设有国家奖学金、国家励志奖学金、国家助学金、校级奖学金、社会捐助助学金等，并为家庭经济困难学生提供一定数量的勤工助学岗位。凡被我校录取的本专科学生，因家庭经济困难，按照国家有关政策，可申请办理“生源地信用助学贷款”，学生在校就读期间贷款利息由国家补贴，个人不用支付贷款利息。本科生学位授予率均保持在90%以上，考研通过率呈逐年上升趋势，2020年考研录取率为13.2%，毕业生用人单位满意度多年保持在96%以上，毕业生就业率一直保持在94%以上，连续多年被评为“四川省高校毕业生就业工作先进单位”。</w:t>
      </w:r>
    </w:p>
    <w:p>
      <w:pPr>
        <w:spacing w:line="360" w:lineRule="auto"/>
        <w:ind w:firstLine="420" w:firstLineChars="200"/>
      </w:pPr>
      <w:r>
        <w:rPr>
          <w:rFonts w:hint="eastAsia"/>
        </w:rPr>
        <w:t>“双创”全面开展，成绩突出。学校拥有省级大学生创新创业俱乐部、省级大学科技园等创新创业平台7个，近年来孵化学生创业项目263个，成功孵化企业55家，带动参与创业大学生近11000人次。近五年，大学生创新创业项目立项1225项，其中国家级项目225项、省级项目275项。近五年，大学生获各级各类学科竞赛奖励共计2070项，其中国家级208项、省部级奖项562项、协会获奖1300项。“互联网+”大学生创新创业大赛共计获得国家级银奖1项、国家级铜奖4项、省级金奖7项、省级银奖22项、省级铜奖54项，学校连续六年被评为优秀组织奖。</w:t>
      </w:r>
    </w:p>
    <w:p>
      <w:pPr>
        <w:spacing w:line="360" w:lineRule="auto"/>
        <w:ind w:firstLine="420" w:firstLineChars="200"/>
      </w:pPr>
      <w:r>
        <w:rPr>
          <w:rFonts w:hint="eastAsia"/>
        </w:rPr>
        <w:t>坚持开放办学，成效显著。学校先后与英国、美国、瑞典、泰国、马来西亚、乌克兰等10多个国家和地区的高校和科研院所建立了友好合作关系，在教师和学生互派、文化、学术交流等领域建立了广泛而深入的合作。学生每年可通过游学、交换项目到合作高校学习，并取得学分，也可通过本升硕项目到合作高校进行学历深造。积极与哈尔滨工业大学、四川大学、中钢集团公司、成都理工大学、西华大学和四川轻化工大学、上海大学、西南科技大学、江西理工大学等国内高校、大型企业联合科技攻关和研究生的培养教育。</w:t>
      </w:r>
    </w:p>
    <w:p>
      <w:pPr>
        <w:spacing w:line="360" w:lineRule="auto"/>
        <w:rPr>
          <w:b/>
        </w:rPr>
      </w:pPr>
      <w:r>
        <w:rPr>
          <w:rFonts w:hint="eastAsia"/>
          <w:b/>
        </w:rPr>
        <w:t>二、学校网址</w:t>
      </w:r>
    </w:p>
    <w:p>
      <w:pPr>
        <w:spacing w:line="360" w:lineRule="auto"/>
      </w:pPr>
      <w:r>
        <w:rPr>
          <w:rFonts w:hint="eastAsia"/>
        </w:rPr>
        <w:t xml:space="preserve">  </w:t>
      </w:r>
      <w:r>
        <w:fldChar w:fldCharType="begin"/>
      </w:r>
      <w:r>
        <w:instrText xml:space="preserve"> HYPERLINK "http://www.pzhu.cn" </w:instrText>
      </w:r>
      <w:r>
        <w:fldChar w:fldCharType="separate"/>
      </w:r>
      <w:r>
        <w:rPr>
          <w:rFonts w:hint="eastAsia"/>
        </w:rPr>
        <w:t>http://www.pzhu.cn</w:t>
      </w:r>
      <w:r>
        <w:rPr>
          <w:rFonts w:hint="eastAsia"/>
        </w:rPr>
        <w:fldChar w:fldCharType="end"/>
      </w:r>
      <w:r>
        <w:rPr>
          <w:rFonts w:hint="eastAsia"/>
        </w:rPr>
        <w:t>/</w:t>
      </w:r>
    </w:p>
    <w:p>
      <w:pPr>
        <w:spacing w:line="360" w:lineRule="auto"/>
        <w:rPr>
          <w:b/>
        </w:rPr>
      </w:pPr>
      <w:r>
        <w:rPr>
          <w:rFonts w:hint="eastAsia"/>
          <w:b/>
        </w:rPr>
        <w:t>三、学校咨询方式</w:t>
      </w:r>
    </w:p>
    <w:p>
      <w:pPr>
        <w:spacing w:line="360" w:lineRule="auto"/>
        <w:ind w:firstLine="420" w:firstLineChars="200"/>
        <w:rPr>
          <w:rFonts w:hint="eastAsia" w:eastAsiaTheme="minorEastAsia"/>
          <w:lang w:eastAsia="zh-CN"/>
        </w:rPr>
      </w:pPr>
      <w:r>
        <w:rPr>
          <w:rFonts w:hint="eastAsia"/>
        </w:rPr>
        <w:t>0812-3371800-801</w:t>
      </w:r>
      <w:r>
        <w:rPr>
          <w:rFonts w:hint="eastAsia"/>
          <w:lang w:eastAsia="zh-CN"/>
        </w:rPr>
        <w:t>，</w:t>
      </w:r>
      <w:r>
        <w:rPr>
          <w:rFonts w:hint="eastAsia"/>
        </w:rPr>
        <w:t>0812-3371800-80</w:t>
      </w:r>
      <w:r>
        <w:rPr>
          <w:rFonts w:hint="eastAsia"/>
          <w:lang w:val="en-US" w:eastAsia="zh-CN"/>
        </w:rPr>
        <w:t>2，</w:t>
      </w:r>
      <w:r>
        <w:rPr>
          <w:rFonts w:hint="eastAsia"/>
        </w:rPr>
        <w:t>0812-3371800-80</w:t>
      </w:r>
      <w:r>
        <w:rPr>
          <w:rFonts w:hint="eastAsia"/>
          <w:lang w:val="en-US" w:eastAsia="zh-CN"/>
        </w:rPr>
        <w:t>4</w:t>
      </w:r>
      <w:bookmarkStart w:id="0" w:name="_GoBack"/>
      <w:bookmarkEnd w:id="0"/>
    </w:p>
    <w:p>
      <w:pPr>
        <w:spacing w:line="360" w:lineRule="auto"/>
        <w:rPr>
          <w:b/>
        </w:rPr>
      </w:pPr>
      <w:r>
        <w:rPr>
          <w:rFonts w:hint="eastAsia"/>
          <w:b/>
        </w:rPr>
        <w:t>四、学校办学地点</w:t>
      </w:r>
    </w:p>
    <w:p>
      <w:pPr>
        <w:spacing w:line="360" w:lineRule="auto"/>
      </w:pPr>
      <w:r>
        <w:rPr>
          <w:rFonts w:hint="eastAsia"/>
        </w:rPr>
        <w:t>四川省攀枝花市东区三线大道北段10号</w:t>
      </w:r>
    </w:p>
    <w:p>
      <w:pPr>
        <w:spacing w:line="360" w:lineRule="auto"/>
        <w:rPr>
          <w:b/>
        </w:rPr>
      </w:pPr>
      <w:r>
        <w:rPr>
          <w:rFonts w:hint="eastAsia"/>
          <w:b/>
        </w:rPr>
        <w:t>五、学费标准</w:t>
      </w:r>
    </w:p>
    <w:p>
      <w:pPr>
        <w:spacing w:line="360" w:lineRule="auto"/>
        <w:ind w:firstLine="420" w:firstLineChars="200"/>
      </w:pPr>
      <w:r>
        <w:rPr>
          <w:rFonts w:hint="eastAsia"/>
        </w:rPr>
        <w:t>我校收费标准按照四川省物价局、四川省教育厅、四川省财政厅及攀枝花市物价局、财政局、教体局核定的标准执行</w:t>
      </w:r>
    </w:p>
    <w:p>
      <w:pPr>
        <w:spacing w:line="360" w:lineRule="auto"/>
        <w:rPr>
          <w:b/>
        </w:rPr>
      </w:pPr>
      <w:r>
        <w:rPr>
          <w:rFonts w:hint="eastAsia"/>
          <w:b/>
        </w:rPr>
        <w:t>六、监督机制</w:t>
      </w:r>
    </w:p>
    <w:p>
      <w:pPr>
        <w:spacing w:line="360" w:lineRule="auto"/>
        <w:ind w:firstLine="420" w:firstLineChars="200"/>
        <w:jc w:val="center"/>
      </w:pPr>
      <w:r>
        <w:rPr>
          <w:rFonts w:hint="eastAsia"/>
        </w:rPr>
        <w:t>坚持公平、公开、公正的原则，严格按照规定的条件、程序、比例和要求做好专升本选拔工作、切实保证选拔质量。学校将认真实行责任制和责任追究制，对违规违纪行为按《国家教育考试违规处理办法》（教育部令第33号）等有关规定严肃处理，并追究相关负责人的责任。凡通过弄虚作假等欺骗手段报考或录取的学生，一经发现，取消当年报考、录取资格或学籍，并严厉查处违反规定的人员，监督举报与申诉电话：0812-3379903。</w:t>
      </w:r>
      <w:r>
        <w:br w:type="page"/>
      </w:r>
      <w:r>
        <w:rPr>
          <w:rFonts w:hint="eastAsia" w:eastAsia="宋体" w:asciiTheme="majorHAnsi" w:hAnsiTheme="majorHAnsi" w:cstheme="majorBidi"/>
          <w:b/>
          <w:bCs/>
          <w:sz w:val="36"/>
          <w:szCs w:val="36"/>
        </w:rPr>
        <w:t>西南交通大学希望学院相关信息</w:t>
      </w:r>
    </w:p>
    <w:p>
      <w:pPr>
        <w:spacing w:line="360" w:lineRule="auto"/>
        <w:rPr>
          <w:b/>
        </w:rPr>
      </w:pPr>
      <w:r>
        <w:rPr>
          <w:rFonts w:hint="eastAsia"/>
          <w:b/>
        </w:rPr>
        <w:t>一、学校基本情况</w:t>
      </w:r>
    </w:p>
    <w:p>
      <w:pPr>
        <w:spacing w:line="360" w:lineRule="auto"/>
        <w:ind w:firstLine="420" w:firstLineChars="200"/>
      </w:pPr>
      <w:r>
        <w:rPr>
          <w:rFonts w:hint="eastAsia"/>
        </w:rPr>
        <w:t>西南交通大学希望学院是经国家教育部批准、由首批进入“双一流”建设的百年名校——西南交通大学按照高标准、高起点的要求创办的全日制普通本科高等院校。学院设有轨道交通学院、土木工程学院、商学院、外语系、基础部等教学单位，开办本专科专业44个，面向全国14个省市招生,现有在校学生25000余人。在不断提高教育教学水平的基础上，全面打造“双师双能型”教师队伍，全面推进“宽基础、多口径、强能力、高素质”为特征的“现场工程师”应用型人才培养。</w:t>
      </w:r>
    </w:p>
    <w:p>
      <w:pPr>
        <w:spacing w:line="360" w:lineRule="auto"/>
        <w:ind w:firstLine="420" w:firstLineChars="200"/>
      </w:pPr>
      <w:r>
        <w:rPr>
          <w:rFonts w:hint="eastAsia"/>
        </w:rPr>
        <w:t>坚持凝聚特色、彰显亮点、兼顾发展强化与中铁、中建、成都铁路局、京东、成都地铁、希望集团等企业在人才培养方面的合作和交流，注重提升学生的专业技能和创新能力，切实做好应用型人才的培养。</w:t>
      </w:r>
    </w:p>
    <w:p>
      <w:pPr>
        <w:spacing w:line="360" w:lineRule="auto"/>
        <w:ind w:firstLine="420" w:firstLineChars="200"/>
      </w:pPr>
      <w:r>
        <w:rPr>
          <w:rFonts w:hint="eastAsia"/>
        </w:rPr>
        <w:t>2015年以来，希望学院按照国家教育改革的要求，立足”转型改革、创新发展”，积极进行应用型人才培养，作为四川省首批三所整体转型本科院校之一,现已步入国家教育改革的行列。</w:t>
      </w:r>
    </w:p>
    <w:p>
      <w:pPr>
        <w:spacing w:line="360" w:lineRule="auto"/>
        <w:rPr>
          <w:b/>
        </w:rPr>
      </w:pPr>
      <w:r>
        <w:rPr>
          <w:rFonts w:hint="eastAsia"/>
          <w:b/>
        </w:rPr>
        <w:t>二、学校网址</w:t>
      </w:r>
    </w:p>
    <w:p>
      <w:pPr>
        <w:spacing w:line="360" w:lineRule="auto"/>
        <w:ind w:firstLine="420" w:firstLineChars="200"/>
      </w:pPr>
      <w:r>
        <w:rPr>
          <w:rFonts w:hint="eastAsia"/>
        </w:rPr>
        <w:t xml:space="preserve"> </w:t>
      </w:r>
      <w:r>
        <w:fldChar w:fldCharType="begin"/>
      </w:r>
      <w:r>
        <w:instrText xml:space="preserve"> HYPERLINK "http://www.swjtuhc.cn/jwc/index.aspx" </w:instrText>
      </w:r>
      <w:r>
        <w:fldChar w:fldCharType="separate"/>
      </w:r>
      <w:r>
        <w:rPr>
          <w:rFonts w:hint="eastAsia"/>
        </w:rPr>
        <w:t>http://www.swjtuhc.cn/jwc/index.aspx</w:t>
      </w:r>
      <w:r>
        <w:rPr>
          <w:rFonts w:hint="eastAsia"/>
        </w:rPr>
        <w:fldChar w:fldCharType="end"/>
      </w:r>
    </w:p>
    <w:p>
      <w:pPr>
        <w:spacing w:line="360" w:lineRule="auto"/>
        <w:rPr>
          <w:rFonts w:ascii="仿宋" w:hAnsi="仿宋" w:eastAsia="仿宋" w:cs="仿宋"/>
          <w:bCs/>
          <w:color w:val="333333"/>
          <w:spacing w:val="8"/>
          <w:sz w:val="33"/>
          <w:szCs w:val="33"/>
          <w:shd w:val="clear" w:color="auto" w:fill="FFFFFF"/>
        </w:rPr>
      </w:pPr>
      <w:r>
        <w:rPr>
          <w:rFonts w:hint="eastAsia"/>
          <w:b/>
        </w:rPr>
        <w:t>三、学校咨询方式</w:t>
      </w:r>
    </w:p>
    <w:p>
      <w:pPr>
        <w:spacing w:line="360" w:lineRule="auto"/>
        <w:ind w:firstLine="420" w:firstLineChars="200"/>
      </w:pPr>
      <w:r>
        <w:rPr>
          <w:rFonts w:hint="eastAsia"/>
        </w:rPr>
        <w:t>028-67935812；028-67935795</w:t>
      </w:r>
    </w:p>
    <w:p>
      <w:pPr>
        <w:spacing w:line="360" w:lineRule="auto"/>
        <w:rPr>
          <w:b/>
        </w:rPr>
      </w:pPr>
      <w:r>
        <w:rPr>
          <w:rFonts w:hint="eastAsia"/>
          <w:b/>
        </w:rPr>
        <w:t>四、学校办学地点</w:t>
      </w:r>
    </w:p>
    <w:p>
      <w:pPr>
        <w:spacing w:line="360" w:lineRule="auto"/>
        <w:ind w:firstLine="420" w:firstLineChars="200"/>
      </w:pPr>
      <w:r>
        <w:rPr>
          <w:rFonts w:hint="eastAsia"/>
        </w:rPr>
        <w:t>四川省成都市金堂县学府大道8号</w:t>
      </w:r>
    </w:p>
    <w:p>
      <w:pPr>
        <w:spacing w:line="360" w:lineRule="auto"/>
        <w:rPr>
          <w:b/>
        </w:rPr>
      </w:pPr>
      <w:r>
        <w:rPr>
          <w:rFonts w:hint="eastAsia"/>
          <w:b/>
        </w:rPr>
        <w:t>五、学费标准</w:t>
      </w:r>
    </w:p>
    <w:p>
      <w:pPr>
        <w:spacing w:line="360" w:lineRule="auto"/>
        <w:ind w:firstLine="420" w:firstLineChars="200"/>
        <w:rPr>
          <w:rFonts w:ascii="仿宋" w:hAnsi="仿宋" w:eastAsia="仿宋" w:cs="仿宋"/>
          <w:bCs/>
          <w:color w:val="333333"/>
          <w:spacing w:val="8"/>
          <w:sz w:val="33"/>
          <w:szCs w:val="33"/>
          <w:shd w:val="clear" w:color="auto" w:fill="FFFFFF"/>
        </w:rPr>
      </w:pPr>
      <w:r>
        <w:rPr>
          <w:rFonts w:hint="eastAsia"/>
        </w:rPr>
        <w:t>我校各专业学费 15000元/年·人</w:t>
      </w:r>
    </w:p>
    <w:p>
      <w:pPr>
        <w:spacing w:line="360" w:lineRule="auto"/>
        <w:rPr>
          <w:rFonts w:ascii="仿宋" w:hAnsi="仿宋" w:eastAsia="仿宋" w:cs="仿宋"/>
          <w:bCs/>
          <w:color w:val="333333"/>
          <w:spacing w:val="8"/>
          <w:sz w:val="33"/>
          <w:szCs w:val="33"/>
          <w:shd w:val="clear" w:color="auto" w:fill="FFFFFF"/>
        </w:rPr>
      </w:pPr>
      <w:r>
        <w:rPr>
          <w:rFonts w:hint="eastAsia"/>
          <w:b/>
        </w:rPr>
        <w:t>六、监督机制</w:t>
      </w:r>
    </w:p>
    <w:p>
      <w:pPr>
        <w:spacing w:line="360" w:lineRule="auto"/>
        <w:ind w:firstLine="420" w:firstLineChars="200"/>
      </w:pPr>
      <w:r>
        <w:rPr>
          <w:rFonts w:hint="eastAsia"/>
        </w:rPr>
        <w:t>我校成立由主要领导负责的“专升本”工作领导小组，加强对“专升本”选送、选拔录取工作的集体领导。纪检部门对“专升本”工作全程监督，确保“专升本”工作的公开、公平、公正，切实保证选拔质量。</w:t>
      </w:r>
    </w:p>
    <w:p>
      <w:pPr>
        <w:spacing w:line="360" w:lineRule="auto"/>
        <w:rPr>
          <w:b/>
        </w:rPr>
      </w:pPr>
      <w:r>
        <w:rPr>
          <w:rFonts w:hint="eastAsia"/>
          <w:b/>
        </w:rPr>
        <w:t>七、申诉渠道</w:t>
      </w:r>
    </w:p>
    <w:p>
      <w:pPr>
        <w:spacing w:line="360" w:lineRule="auto"/>
        <w:ind w:firstLine="420" w:firstLineChars="200"/>
      </w:pPr>
      <w:r>
        <w:rPr>
          <w:rFonts w:hint="eastAsia"/>
        </w:rPr>
        <w:t>申诉电话：028-67935812</w:t>
      </w:r>
    </w:p>
    <w:p>
      <w:pPr>
        <w:spacing w:line="360" w:lineRule="auto"/>
        <w:ind w:firstLine="420" w:firstLineChars="200"/>
      </w:pPr>
    </w:p>
    <w:p>
      <w:pPr>
        <w:pStyle w:val="6"/>
        <w:spacing w:before="0" w:after="0" w:line="360" w:lineRule="auto"/>
        <w:outlineLvl w:val="9"/>
        <w:rPr>
          <w:sz w:val="36"/>
          <w:szCs w:val="36"/>
        </w:rPr>
      </w:pPr>
      <w:r>
        <w:rPr>
          <w:rFonts w:hint="eastAsia"/>
          <w:sz w:val="36"/>
          <w:szCs w:val="36"/>
        </w:rPr>
        <w:t>四川工业科技学院简况</w:t>
      </w:r>
    </w:p>
    <w:p>
      <w:pPr>
        <w:pStyle w:val="7"/>
        <w:rPr>
          <w:rFonts w:ascii="仿宋_GB2312" w:eastAsia="仿宋_GB2312"/>
        </w:rPr>
      </w:pPr>
    </w:p>
    <w:p>
      <w:pPr>
        <w:spacing w:line="360" w:lineRule="auto"/>
        <w:rPr>
          <w:b/>
        </w:rPr>
      </w:pPr>
      <w:r>
        <w:rPr>
          <w:rFonts w:hint="eastAsia"/>
          <w:b/>
        </w:rPr>
        <w:t xml:space="preserve">   一、学校特色与优势</w:t>
      </w:r>
    </w:p>
    <w:p>
      <w:pPr>
        <w:spacing w:line="360" w:lineRule="auto"/>
        <w:ind w:firstLine="420" w:firstLineChars="200"/>
      </w:pPr>
      <w:r>
        <w:rPr>
          <w:rFonts w:hint="eastAsia"/>
        </w:rPr>
        <w:t>学校秉承“明德、博学、笃行”的校训，坚持立德树人，培养德、智、体、美、劳全面发展，具有现代职业素养，适应先进制造业、现代服务业和地方社会经济发展需要、具有创新创业能力和国际视野的应用型人才。</w:t>
      </w:r>
    </w:p>
    <w:p>
      <w:pPr>
        <w:spacing w:line="360" w:lineRule="auto"/>
        <w:ind w:firstLine="420" w:firstLineChars="200"/>
      </w:pPr>
      <w:r>
        <w:rPr>
          <w:rFonts w:hint="eastAsia"/>
        </w:rPr>
        <w:t>学校本科涵盖工学、管理学、经济学、教育学、艺术学等五个学科门类，形成了以工为主、多学科协调发展格局。学校目前已建成4个省级重点特色专业、2个省级应用示范专业、2个省级民办特色专业。建成各类省、校级精品在线开放课程50余门。建有校内实验中心（室）和实训基地126个，校外实践教学基地333个。学校积极推进产学研合作与科学研究，成立了中国科学院顾秉林院士工作室、车辆工程研究所、建筑工程研究所、高等教育研究所、李调元研究会、电子商务创新创业中心等研究机构。</w:t>
      </w:r>
    </w:p>
    <w:p>
      <w:pPr>
        <w:spacing w:line="360" w:lineRule="auto"/>
        <w:rPr>
          <w:b/>
        </w:rPr>
      </w:pPr>
      <w:r>
        <w:rPr>
          <w:rFonts w:hint="eastAsia"/>
          <w:b/>
        </w:rPr>
        <w:t xml:space="preserve">   二、专业建设</w:t>
      </w:r>
    </w:p>
    <w:p>
      <w:pPr>
        <w:spacing w:line="360" w:lineRule="auto"/>
        <w:ind w:firstLine="420" w:firstLineChars="200"/>
      </w:pPr>
      <w:r>
        <w:rPr>
          <w:rFonts w:hint="eastAsia"/>
        </w:rPr>
        <w:t>学校设置有2</w:t>
      </w:r>
      <w:r>
        <w:t>9</w:t>
      </w:r>
      <w:r>
        <w:rPr>
          <w:rFonts w:hint="eastAsia"/>
        </w:rPr>
        <w:t>个本科专业，涵盖6个学科门类。其中，工学专业1</w:t>
      </w:r>
      <w:r>
        <w:t>3</w:t>
      </w:r>
      <w:r>
        <w:rPr>
          <w:rFonts w:hint="eastAsia"/>
        </w:rPr>
        <w:t>个，管理学专业</w:t>
      </w:r>
      <w:r>
        <w:t>7</w:t>
      </w:r>
      <w:r>
        <w:rPr>
          <w:rFonts w:hint="eastAsia"/>
        </w:rPr>
        <w:t>个，教育学专业4个，经济学专业2个，艺术学专业1个，理学专业</w:t>
      </w:r>
      <w:r>
        <w:t>2</w:t>
      </w:r>
      <w:r>
        <w:rPr>
          <w:rFonts w:hint="eastAsia"/>
        </w:rPr>
        <w:t>个。</w:t>
      </w:r>
    </w:p>
    <w:p>
      <w:pPr>
        <w:spacing w:line="360" w:lineRule="auto"/>
        <w:rPr>
          <w:b/>
        </w:rPr>
      </w:pPr>
      <w:r>
        <w:rPr>
          <w:rFonts w:hint="eastAsia" w:ascii="仿宋_GB2312" w:hAnsi="黑体" w:eastAsia="仿宋_GB2312" w:cs="黑体"/>
          <w:sz w:val="30"/>
          <w:szCs w:val="30"/>
        </w:rPr>
        <w:t xml:space="preserve">  </w:t>
      </w:r>
      <w:r>
        <w:rPr>
          <w:rFonts w:hint="eastAsia"/>
          <w:b/>
        </w:rPr>
        <w:t xml:space="preserve"> 三、名师队伍与教学特色</w:t>
      </w:r>
    </w:p>
    <w:p>
      <w:pPr>
        <w:spacing w:line="360" w:lineRule="auto"/>
        <w:ind w:firstLine="420" w:firstLineChars="200"/>
      </w:pPr>
      <w:r>
        <w:rPr>
          <w:rFonts w:hint="eastAsia"/>
        </w:rPr>
        <w:t>学校现有教职工近千人，其中高级职称教师占37.2%，具有博士、硕士学位教师占53.3%，双师双能型教师占34.38%。</w:t>
      </w:r>
    </w:p>
    <w:p>
      <w:pPr>
        <w:spacing w:line="360" w:lineRule="auto"/>
        <w:ind w:firstLine="420" w:firstLineChars="200"/>
      </w:pPr>
      <w:r>
        <w:rPr>
          <w:rFonts w:hint="eastAsia"/>
        </w:rPr>
        <w:t>学校现有教学、科研仪器设备资产总值逾亿元，建有国家财政支持的实验教学中心1个，省级实验教学中心1个，校级实验中心9个，校级实验教学中心1个，。涵盖106个校级实验（实训）室。建有333个校外实践教学基地。</w:t>
      </w:r>
    </w:p>
    <w:p>
      <w:pPr>
        <w:spacing w:line="360" w:lineRule="auto"/>
        <w:rPr>
          <w:rFonts w:ascii="仿宋_GB2312" w:hAnsi="黑体" w:eastAsia="仿宋_GB2312" w:cs="黑体"/>
          <w:sz w:val="30"/>
          <w:szCs w:val="30"/>
        </w:rPr>
      </w:pPr>
      <w:r>
        <w:rPr>
          <w:rFonts w:hint="eastAsia" w:ascii="仿宋_GB2312" w:hAnsi="黑体" w:eastAsia="仿宋_GB2312" w:cs="黑体"/>
          <w:sz w:val="30"/>
          <w:szCs w:val="30"/>
        </w:rPr>
        <w:t xml:space="preserve">  </w:t>
      </w:r>
      <w:r>
        <w:rPr>
          <w:rFonts w:hint="eastAsia"/>
          <w:b/>
        </w:rPr>
        <w:t xml:space="preserve"> 四、学费标准及办学地点</w:t>
      </w:r>
    </w:p>
    <w:p>
      <w:pPr>
        <w:spacing w:line="360" w:lineRule="auto"/>
        <w:ind w:firstLine="420" w:firstLineChars="200"/>
      </w:pPr>
      <w:r>
        <w:rPr>
          <w:rFonts w:hint="eastAsia"/>
        </w:rPr>
        <w:t>我校收费标准为理工类学费17000元/年，艺体类学费17900元/年（其中休闲体育学费为17000元/年），酒店管理、学前教育学费13700元/年；其余专业学费16700元/年；住宿费8人间1200元/年，6人间1400元/年；代管费1330元/年（校责险0元+学平险180元+医保350元=530元/生.年，教材费用800元/生.年，教材费根据实际多退少补），其中医保为动态，以政府文件为准。</w:t>
      </w:r>
    </w:p>
    <w:p>
      <w:pPr>
        <w:spacing w:line="360" w:lineRule="auto"/>
        <w:ind w:firstLine="420" w:firstLineChars="200"/>
      </w:pPr>
      <w:r>
        <w:rPr>
          <w:rFonts w:hint="eastAsia"/>
        </w:rPr>
        <w:t xml:space="preserve">    我校除体育类专业学生在绵竹校区教学，其余专业均在德阳罗江校区。</w:t>
      </w:r>
    </w:p>
    <w:p>
      <w:pPr>
        <w:spacing w:line="360" w:lineRule="auto"/>
        <w:rPr>
          <w:rFonts w:ascii="仿宋_GB2312" w:hAnsi="黑体" w:eastAsia="仿宋_GB2312" w:cs="黑体"/>
          <w:sz w:val="30"/>
          <w:szCs w:val="30"/>
        </w:rPr>
      </w:pPr>
      <w:r>
        <w:rPr>
          <w:rFonts w:hint="eastAsia"/>
          <w:b/>
        </w:rPr>
        <w:t xml:space="preserve">   五、本科学历进一步提升</w:t>
      </w:r>
    </w:p>
    <w:p>
      <w:pPr>
        <w:spacing w:line="360" w:lineRule="auto"/>
        <w:ind w:firstLine="420" w:firstLineChars="200"/>
      </w:pPr>
      <w:r>
        <w:rPr>
          <w:rFonts w:hint="eastAsia"/>
        </w:rPr>
        <w:t>我校自2014年招收本科生以来，积极帮助学生考研。学校已申请并获批为研究生入学考试考点，学校为考研学生提供基础课程（英语、数学、政治）的教学，建有考研服务与辅导专门教师队伍。</w:t>
      </w:r>
    </w:p>
    <w:p>
      <w:pPr>
        <w:spacing w:line="360" w:lineRule="auto"/>
        <w:ind w:firstLine="420" w:firstLineChars="200"/>
      </w:pPr>
      <w:r>
        <w:rPr>
          <w:rFonts w:hint="eastAsia"/>
        </w:rPr>
        <w:t>为不断推进国际化办学，学校先后与德国、美国、英国、日本、韩国、泰国、老挝、尼泊尔、马来西亚等国家高等学校建立了广泛的学术交流与人才培养合作机制。</w:t>
      </w:r>
    </w:p>
    <w:p>
      <w:pPr>
        <w:spacing w:line="360" w:lineRule="auto"/>
        <w:rPr>
          <w:rFonts w:ascii="仿宋_GB2312" w:hAnsi="黑体" w:eastAsia="仿宋_GB2312" w:cs="黑体"/>
          <w:sz w:val="30"/>
          <w:szCs w:val="30"/>
        </w:rPr>
      </w:pPr>
      <w:r>
        <w:rPr>
          <w:rFonts w:hint="eastAsia" w:ascii="仿宋_GB2312" w:hAnsi="黑体" w:eastAsia="仿宋_GB2312" w:cs="黑体"/>
          <w:sz w:val="30"/>
          <w:szCs w:val="30"/>
        </w:rPr>
        <w:t xml:space="preserve"> </w:t>
      </w:r>
      <w:r>
        <w:rPr>
          <w:rFonts w:hint="eastAsia"/>
          <w:b/>
        </w:rPr>
        <w:t xml:space="preserve">  六、奖学助学</w:t>
      </w:r>
    </w:p>
    <w:p>
      <w:pPr>
        <w:spacing w:line="360" w:lineRule="auto"/>
        <w:ind w:firstLine="420" w:firstLineChars="200"/>
      </w:pPr>
      <w:r>
        <w:rPr>
          <w:rFonts w:hint="eastAsia"/>
        </w:rPr>
        <w:t>学校建立了完备的奖学助学体系，有国家扶助金、企业扶助金和学校助学金。从2020年起，学校将对本科学生的奖、助学金额进一步提升（具体金额参照四川工业科技学院学生手册）。</w:t>
      </w:r>
    </w:p>
    <w:p>
      <w:pPr>
        <w:spacing w:line="360" w:lineRule="auto"/>
        <w:rPr>
          <w:b/>
        </w:rPr>
      </w:pPr>
      <w:r>
        <w:rPr>
          <w:rFonts w:hint="eastAsia"/>
          <w:b/>
        </w:rPr>
        <w:t xml:space="preserve">   七、就业方面</w:t>
      </w:r>
    </w:p>
    <w:p>
      <w:pPr>
        <w:spacing w:line="360" w:lineRule="auto"/>
        <w:ind w:firstLine="420" w:firstLineChars="200"/>
      </w:pPr>
      <w:r>
        <w:rPr>
          <w:rFonts w:hint="eastAsia"/>
        </w:rPr>
        <w:t>学校与四川省、成都市、德阳市等人才交流中心，南京、上海、重庆、德阳、绵阳等地方政府部门紧密合作，与阿里巴巴、百度、京东、必途、智联招聘等行业网站共同搭建资源共享及人才需求网络平台，每年为毕业生提供上万个工作岗位。学校与阿里巴巴合作共同培养跨境电商人才、与康年国际酒店集团合作共同培养高级酒店管理人才、与南京金龙客车合作共同培养车辆工程方面高技能人才，同时还与上汽集团、中航工业、绿地控股、四川长虹、京东方、卧龙电气、九洲电子等500余家企事业单位建立了产教融合、校企合作关系。“广、深、高”的校企深度合作，使学校近几年毕业生就业率始终保持在95%以上，位居全省同类院校前列。</w:t>
      </w:r>
    </w:p>
    <w:p>
      <w:pPr>
        <w:spacing w:line="360" w:lineRule="auto"/>
        <w:rPr>
          <w:b/>
        </w:rPr>
      </w:pPr>
      <w:r>
        <w:rPr>
          <w:rFonts w:hint="eastAsia"/>
          <w:b/>
        </w:rPr>
        <w:t>八、学校</w:t>
      </w:r>
      <w:r>
        <w:rPr>
          <w:b/>
        </w:rPr>
        <w:t>地址</w:t>
      </w:r>
      <w:r>
        <w:rPr>
          <w:rFonts w:hint="eastAsia"/>
          <w:b/>
        </w:rPr>
        <w:t>及联系方式</w:t>
      </w:r>
    </w:p>
    <w:p>
      <w:pPr>
        <w:spacing w:line="360" w:lineRule="auto"/>
        <w:ind w:firstLine="420" w:firstLineChars="200"/>
      </w:pPr>
      <w:r>
        <w:rPr>
          <w:rFonts w:hint="eastAsia"/>
        </w:rPr>
        <w:t>学校网址</w:t>
      </w:r>
      <w:r>
        <w:t>：</w:t>
      </w:r>
      <w:r>
        <w:fldChar w:fldCharType="begin"/>
      </w:r>
      <w:r>
        <w:instrText xml:space="preserve"> HYPERLINK "http://www.scit.edu.cn/" </w:instrText>
      </w:r>
      <w:r>
        <w:fldChar w:fldCharType="separate"/>
      </w:r>
      <w:r>
        <w:t>http://www.scit.edu.cn/</w:t>
      </w:r>
      <w:r>
        <w:fldChar w:fldCharType="end"/>
      </w:r>
      <w:r>
        <w:rPr>
          <w:rFonts w:hint="eastAsia"/>
        </w:rPr>
        <w:t>；</w:t>
      </w:r>
    </w:p>
    <w:p>
      <w:pPr>
        <w:spacing w:line="360" w:lineRule="auto"/>
        <w:ind w:firstLine="420" w:firstLineChars="200"/>
      </w:pPr>
      <w:r>
        <w:rPr>
          <w:rFonts w:hint="eastAsia"/>
        </w:rPr>
        <w:t>学校地址：四川省德阳市罗江区大学路59号</w:t>
      </w:r>
    </w:p>
    <w:p>
      <w:pPr>
        <w:spacing w:line="360" w:lineRule="auto"/>
        <w:ind w:firstLine="420" w:firstLineChars="200"/>
      </w:pPr>
      <w:r>
        <w:rPr>
          <w:rFonts w:hint="eastAsia"/>
        </w:rPr>
        <w:t>联系电话：0838-3202399  3209301  3209302</w:t>
      </w:r>
    </w:p>
    <w:p>
      <w:pPr>
        <w:spacing w:line="360" w:lineRule="auto"/>
        <w:ind w:firstLine="420" w:firstLineChars="200"/>
      </w:pPr>
      <w:r>
        <w:rPr>
          <w:rFonts w:hint="eastAsia"/>
        </w:rPr>
        <w:t>我校“专升本”工作全程接受纪检、监察部门的监督，并接受社会监督，监督投诉电话：纪检部门0838-3202115。</w:t>
      </w:r>
    </w:p>
    <w:p>
      <w:pPr>
        <w:widowControl/>
        <w:jc w:val="left"/>
        <w:rPr>
          <w:rFonts w:ascii="黑体" w:hAnsi="黑体" w:eastAsia="黑体"/>
          <w:b/>
          <w:bCs/>
          <w:sz w:val="44"/>
          <w:szCs w:val="52"/>
        </w:rPr>
      </w:pPr>
      <w:r>
        <w:rPr>
          <w:rFonts w:ascii="黑体" w:hAnsi="黑体" w:eastAsia="黑体"/>
          <w:b/>
          <w:bCs/>
          <w:sz w:val="44"/>
          <w:szCs w:val="52"/>
        </w:rPr>
        <w:br w:type="page"/>
      </w:r>
    </w:p>
    <w:p>
      <w:pPr>
        <w:pStyle w:val="6"/>
        <w:spacing w:before="0" w:after="0" w:line="360" w:lineRule="auto"/>
        <w:outlineLvl w:val="9"/>
        <w:rPr>
          <w:sz w:val="36"/>
          <w:szCs w:val="36"/>
        </w:rPr>
      </w:pPr>
      <w:r>
        <w:rPr>
          <w:rFonts w:hint="eastAsia"/>
          <w:sz w:val="36"/>
          <w:szCs w:val="36"/>
        </w:rPr>
        <w:t>吉利学院2</w:t>
      </w:r>
      <w:r>
        <w:rPr>
          <w:sz w:val="36"/>
          <w:szCs w:val="36"/>
        </w:rPr>
        <w:t>022</w:t>
      </w:r>
      <w:r>
        <w:rPr>
          <w:rFonts w:hint="eastAsia"/>
          <w:sz w:val="36"/>
          <w:szCs w:val="36"/>
        </w:rPr>
        <w:t>年“专升本”招生简介</w:t>
      </w:r>
    </w:p>
    <w:p/>
    <w:p>
      <w:pPr>
        <w:spacing w:line="360" w:lineRule="auto"/>
        <w:rPr>
          <w:rStyle w:val="10"/>
          <w:rFonts w:ascii="黑体" w:hAnsi="黑体" w:eastAsia="黑体"/>
          <w:sz w:val="32"/>
          <w:szCs w:val="32"/>
        </w:rPr>
      </w:pPr>
      <w:r>
        <w:rPr>
          <w:rFonts w:hint="eastAsia"/>
          <w:b/>
        </w:rPr>
        <w:t>一、学校特色与优势</w:t>
      </w:r>
    </w:p>
    <w:p>
      <w:pPr>
        <w:spacing w:line="360" w:lineRule="auto"/>
        <w:ind w:firstLine="420" w:firstLineChars="200"/>
      </w:pPr>
      <w:r>
        <w:rPr>
          <w:rFonts w:hint="eastAsia"/>
        </w:rPr>
        <w:t>吉利学院是教育部批准的全日制民办普通本科高校，由世界500强吉利控股集团于1999年在北京创办，前身是北京吉利大学。2014年经教育部批准升格为本科高校并更名为北京吉利学院。2020年3月30日，学校</w:t>
      </w:r>
      <w:r>
        <w:t>积极响应党中央号召,努力践行京津冀协同发展、疏解非首都核心功能</w:t>
      </w:r>
      <w:r>
        <w:rPr>
          <w:rFonts w:hint="eastAsia"/>
        </w:rPr>
        <w:t>，从北京整体搬迁至成都并更名为吉利学院。</w:t>
      </w:r>
    </w:p>
    <w:p>
      <w:pPr>
        <w:spacing w:line="360" w:lineRule="auto"/>
        <w:ind w:firstLine="420" w:firstLineChars="200"/>
      </w:pPr>
      <w:r>
        <w:rPr>
          <w:rFonts w:hint="eastAsia"/>
        </w:rPr>
        <w:t>学校坐落于国家向西向南开放新门户、新经济发展新引擎-成都东部新区，办学用地2000亩，规划总建筑面积120万平方米，按照百年高校的建设目标，秉承人与建筑、自然和谐共生的理念，围绕建设中国智造的创梦校园、五元平衡的温馨校园、共享互通的智慧校园、山水交融的生态校园的“四园”规划理念，运用人工智能、大数据、云计算、物联网等新技术， 建设生态、人文、国际、数字化的智美校园。</w:t>
      </w:r>
    </w:p>
    <w:p>
      <w:pPr>
        <w:spacing w:line="360" w:lineRule="auto"/>
        <w:ind w:firstLine="420" w:firstLineChars="200"/>
      </w:pPr>
      <w:r>
        <w:rPr>
          <w:rFonts w:hint="eastAsia"/>
        </w:rPr>
        <w:t>学校以数字化为引领，工学、经济学、管理学、教育学、文学、法学、艺术学、理学等多学科协调发展，现设有40个本科专业。设立汽车工程学院、智能科技学院、商学院、盛宝金融科技学院、人文学院、艺术设计学院、体育与健康学院、航空航天学院8个二级学院及博雅学院、马克思主义学院和创新创业学院。不断优化学科专业布局，对接成渝地区双城经济圈汽车、电子信息两大万亿级产业，做强智能科技专业群；发挥集团办学、产教融合优势。做优经济管理专业群；适应新时代人民美好生活需要，做特人文艺术专业群。推动“数字化+”专业集群建设和学科专业间交叉融合创新；推进国家级一流专业、省级一流专业建设，提升服务区域经济社会发展能力。</w:t>
      </w:r>
    </w:p>
    <w:p>
      <w:pPr>
        <w:spacing w:line="360" w:lineRule="auto"/>
        <w:ind w:firstLine="420" w:firstLineChars="200"/>
      </w:pPr>
      <w:r>
        <w:rPr>
          <w:rFonts w:hint="eastAsia"/>
        </w:rPr>
        <w:t>北京大学作为战略支持高校，通过在吉利学院设立“北京大学西部研究院”，在学科专业建设、师资队伍建设、科研创新、科技成果转化等方面给予学校大力支持。依托北京大学“双一流”建设资源优势，学校努力打造公办和民办高校融通发展、创新发展的典范。</w:t>
      </w:r>
    </w:p>
    <w:p>
      <w:pPr>
        <w:spacing w:line="360" w:lineRule="auto"/>
        <w:ind w:firstLine="420" w:firstLineChars="200"/>
      </w:pPr>
      <w:r>
        <w:rPr>
          <w:rFonts w:hint="eastAsia"/>
        </w:rPr>
        <w:t>始终坚持“立足川渝 、面向西南、服务集团、融入行业”的办学定位，高度重视</w:t>
      </w:r>
      <w:r>
        <w:t>产教融合、校企合作，不断深化教育教学改革</w:t>
      </w:r>
      <w:r>
        <w:rPr>
          <w:rFonts w:hint="eastAsia"/>
        </w:rPr>
        <w:t>、推进产教协同育人。先后与吉利汽车、领克、极氪、沃尔沃、百度、京东、铭泰集团、顺丰、华为、腾讯科技、阿里巴巴、北京字节跳动等国内外知名企业、区域龙头企业建立战略合作。</w:t>
      </w:r>
    </w:p>
    <w:p>
      <w:pPr>
        <w:spacing w:line="360" w:lineRule="auto"/>
        <w:ind w:firstLine="420" w:firstLineChars="200"/>
      </w:pPr>
      <w:r>
        <w:rPr>
          <w:rFonts w:hint="eastAsia"/>
        </w:rPr>
        <w:t>办学23年来，学校人才培养质量和办学水平持续提升，其毕业生获得企业和社会高度认可。学校先后获得中国民办高校领导品牌、华人影响力民办高校、实力标杆民办高校、产教融合示范高校、最受考生青睐民办本科高校等荣誉称号。</w:t>
      </w:r>
    </w:p>
    <w:p>
      <w:pPr>
        <w:spacing w:line="360" w:lineRule="auto"/>
        <w:rPr>
          <w:b/>
        </w:rPr>
      </w:pPr>
      <w:r>
        <w:rPr>
          <w:rFonts w:hint="eastAsia"/>
          <w:b/>
        </w:rPr>
        <w:t>二、收费标准</w:t>
      </w:r>
    </w:p>
    <w:p>
      <w:pPr>
        <w:spacing w:line="360" w:lineRule="auto"/>
        <w:ind w:firstLine="420" w:firstLineChars="200"/>
      </w:pPr>
      <w:r>
        <w:rPr>
          <w:rFonts w:hint="eastAsia"/>
        </w:rPr>
        <w:t>学校对“专升本”学生按照四川省发展与改革委员会核定的收费标准收取学费、住宿费等，具体收费标准如下：</w:t>
      </w:r>
    </w:p>
    <w:p>
      <w:pPr>
        <w:spacing w:line="360" w:lineRule="auto"/>
        <w:ind w:firstLine="420" w:firstLineChars="200"/>
      </w:pPr>
      <w:r>
        <w:rPr>
          <w:rFonts w:hint="eastAsia"/>
        </w:rPr>
        <w:t>（一）普通类专业学费2</w:t>
      </w:r>
      <w:r>
        <w:t>6800</w:t>
      </w:r>
      <w:r>
        <w:rPr>
          <w:rFonts w:hint="eastAsia"/>
        </w:rPr>
        <w:t>元/学年（专项奖助后2</w:t>
      </w:r>
      <w:r>
        <w:t>1800</w:t>
      </w:r>
      <w:r>
        <w:rPr>
          <w:rFonts w:hint="eastAsia"/>
        </w:rPr>
        <w:t>元/学年）、艺术类专业学费3</w:t>
      </w:r>
      <w:r>
        <w:t>2000</w:t>
      </w:r>
      <w:r>
        <w:rPr>
          <w:rFonts w:hint="eastAsia"/>
        </w:rPr>
        <w:t>元/学年（专项奖助后2</w:t>
      </w:r>
      <w:r>
        <w:t>6000</w:t>
      </w:r>
      <w:r>
        <w:rPr>
          <w:rFonts w:hint="eastAsia"/>
        </w:rPr>
        <w:t>元/学年）。</w:t>
      </w:r>
    </w:p>
    <w:p>
      <w:pPr>
        <w:spacing w:line="360" w:lineRule="auto"/>
        <w:ind w:firstLine="420" w:firstLineChars="200"/>
      </w:pPr>
      <w:r>
        <w:rPr>
          <w:rFonts w:hint="eastAsia"/>
        </w:rPr>
        <w:t>（二）住宿费2000元/学年。</w:t>
      </w:r>
    </w:p>
    <w:p>
      <w:pPr>
        <w:spacing w:line="360" w:lineRule="auto"/>
        <w:ind w:firstLine="420" w:firstLineChars="200"/>
      </w:pPr>
      <w:r>
        <w:rPr>
          <w:rFonts w:hint="eastAsia"/>
        </w:rPr>
        <w:t>注：具体收费标准按学校最终公布的为准！</w:t>
      </w:r>
    </w:p>
    <w:p>
      <w:pPr>
        <w:spacing w:line="360" w:lineRule="auto"/>
        <w:rPr>
          <w:b/>
        </w:rPr>
      </w:pPr>
      <w:r>
        <w:rPr>
          <w:rFonts w:hint="eastAsia"/>
          <w:b/>
        </w:rPr>
        <w:t>三、举报、申诉及纪检监察</w:t>
      </w:r>
    </w:p>
    <w:p>
      <w:pPr>
        <w:spacing w:line="360" w:lineRule="auto"/>
        <w:ind w:firstLine="420" w:firstLineChars="200"/>
      </w:pPr>
      <w:r>
        <w:rPr>
          <w:rFonts w:hint="eastAsia"/>
        </w:rPr>
        <w:t>学校“专升本”选拔各项组织工作遵循“公开、公平、公正、择优”的原则，成立学校“专升本”选拔招生工作纪检监察小组，接受四川省教育厅监督指导，全面负责学校“专升本”选拔招生纪律监督工作，处理学生、家长及社会各界的举报、申诉等事宜。</w:t>
      </w:r>
    </w:p>
    <w:p>
      <w:pPr>
        <w:spacing w:line="360" w:lineRule="auto"/>
        <w:ind w:firstLine="420" w:firstLineChars="200"/>
      </w:pPr>
      <w:r>
        <w:rPr>
          <w:rFonts w:hint="eastAsia"/>
        </w:rPr>
        <w:t>举报、申诉及纪检监察电话：028-63286077。</w:t>
      </w:r>
    </w:p>
    <w:p>
      <w:pPr>
        <w:spacing w:line="360" w:lineRule="auto"/>
        <w:rPr>
          <w:b/>
          <w:bCs/>
        </w:rPr>
      </w:pPr>
      <w:r>
        <w:rPr>
          <w:rFonts w:hint="eastAsia"/>
          <w:b/>
          <w:bCs/>
        </w:rPr>
        <w:t>四、联系方式</w:t>
      </w:r>
    </w:p>
    <w:p>
      <w:pPr>
        <w:spacing w:line="360" w:lineRule="auto"/>
        <w:ind w:firstLine="420" w:firstLineChars="200"/>
      </w:pPr>
      <w:r>
        <w:rPr>
          <w:rFonts w:hint="eastAsia"/>
        </w:rPr>
        <w:t>咨询电话：400-630-2020</w:t>
      </w:r>
    </w:p>
    <w:p>
      <w:pPr>
        <w:spacing w:line="360" w:lineRule="auto"/>
        <w:ind w:firstLine="420" w:firstLineChars="200"/>
      </w:pPr>
      <w:r>
        <w:rPr>
          <w:rFonts w:hint="eastAsia"/>
        </w:rPr>
        <w:t>028-63286000</w:t>
      </w:r>
    </w:p>
    <w:p>
      <w:pPr>
        <w:spacing w:line="360" w:lineRule="auto"/>
        <w:ind w:firstLine="420" w:firstLineChars="200"/>
      </w:pPr>
      <w:r>
        <w:rPr>
          <w:rFonts w:hint="eastAsia"/>
        </w:rPr>
        <w:t>028-63286222</w:t>
      </w:r>
    </w:p>
    <w:p>
      <w:pPr>
        <w:spacing w:line="360" w:lineRule="auto"/>
        <w:ind w:firstLine="420" w:firstLineChars="200"/>
      </w:pPr>
      <w:r>
        <w:rPr>
          <w:rFonts w:hint="eastAsia"/>
        </w:rPr>
        <w:t>学校官网：</w:t>
      </w:r>
      <w:r>
        <w:fldChar w:fldCharType="begin"/>
      </w:r>
      <w:r>
        <w:instrText xml:space="preserve"> HYPERLINK "http://zs.bgu.edu.cn/" </w:instrText>
      </w:r>
      <w:r>
        <w:fldChar w:fldCharType="separate"/>
      </w:r>
      <w:r>
        <w:rPr>
          <w:rFonts w:hint="eastAsia"/>
        </w:rPr>
        <w:t>http://</w:t>
      </w:r>
      <w:r>
        <w:t>www</w:t>
      </w:r>
      <w:r>
        <w:rPr>
          <w:rFonts w:hint="eastAsia"/>
        </w:rPr>
        <w:t>.guc.edu.cn/</w:t>
      </w:r>
      <w:r>
        <w:rPr>
          <w:rFonts w:hint="eastAsia"/>
        </w:rPr>
        <w:fldChar w:fldCharType="end"/>
      </w:r>
    </w:p>
    <w:p>
      <w:pPr>
        <w:spacing w:line="360" w:lineRule="auto"/>
        <w:ind w:firstLine="420" w:firstLineChars="200"/>
      </w:pPr>
      <w:r>
        <w:rPr>
          <w:rFonts w:hint="eastAsia"/>
        </w:rPr>
        <w:t>招生官网：</w:t>
      </w:r>
      <w:r>
        <w:fldChar w:fldCharType="begin"/>
      </w:r>
      <w:r>
        <w:instrText xml:space="preserve"> HYPERLINK "http://zs.bgu.edu.cn/" </w:instrText>
      </w:r>
      <w:r>
        <w:fldChar w:fldCharType="separate"/>
      </w:r>
      <w:r>
        <w:rPr>
          <w:rFonts w:hint="eastAsia"/>
        </w:rPr>
        <w:t>http://zs.guc.edu.cn/</w:t>
      </w:r>
      <w:r>
        <w:rPr>
          <w:rFonts w:hint="eastAsia"/>
        </w:rPr>
        <w:fldChar w:fldCharType="end"/>
      </w:r>
    </w:p>
    <w:p>
      <w:pPr>
        <w:spacing w:line="360" w:lineRule="auto"/>
        <w:ind w:firstLine="420" w:firstLineChars="200"/>
      </w:pPr>
      <w:r>
        <w:rPr>
          <w:rFonts w:hint="eastAsia"/>
        </w:rPr>
        <w:t>通讯地址：四川省成都东部新区成简大道二段123号</w:t>
      </w:r>
    </w:p>
    <w:p>
      <w:pPr>
        <w:spacing w:line="360" w:lineRule="auto"/>
        <w:ind w:firstLine="420" w:firstLineChars="200"/>
      </w:pPr>
      <w:r>
        <w:rPr>
          <w:rFonts w:hint="eastAsia"/>
        </w:rPr>
        <w:t>邮政编码：641423</w:t>
      </w:r>
      <w:r>
        <w:tab/>
      </w:r>
    </w:p>
    <w:p>
      <w:pPr>
        <w:spacing w:line="360" w:lineRule="auto"/>
        <w:ind w:firstLine="420" w:firstLineChars="200"/>
      </w:pPr>
      <w:r>
        <w:rPr>
          <w:rFonts w:hint="eastAsia"/>
        </w:rPr>
        <w:t>微信公众号：bgu2000</w:t>
      </w:r>
    </w:p>
    <w:p>
      <w:pPr>
        <w:widowControl/>
        <w:jc w:val="left"/>
        <w:rPr>
          <w:rFonts w:eastAsia="宋体" w:asciiTheme="majorHAnsi" w:hAnsiTheme="majorHAnsi" w:cstheme="majorBidi"/>
          <w:b/>
          <w:bCs/>
          <w:sz w:val="36"/>
          <w:szCs w:val="36"/>
        </w:rPr>
      </w:pPr>
      <w:r>
        <w:rPr>
          <w:sz w:val="36"/>
          <w:szCs w:val="36"/>
        </w:rPr>
        <w:br w:type="page"/>
      </w:r>
    </w:p>
    <w:p>
      <w:pPr>
        <w:pStyle w:val="6"/>
        <w:spacing w:before="0" w:after="0" w:line="360" w:lineRule="auto"/>
        <w:outlineLvl w:val="9"/>
        <w:rPr>
          <w:sz w:val="36"/>
          <w:szCs w:val="36"/>
        </w:rPr>
      </w:pPr>
      <w:r>
        <w:rPr>
          <w:rFonts w:hint="eastAsia"/>
          <w:sz w:val="36"/>
          <w:szCs w:val="36"/>
        </w:rPr>
        <w:t>成都银杏酒店管理学院简介</w:t>
      </w:r>
    </w:p>
    <w:p>
      <w:pPr>
        <w:spacing w:line="360" w:lineRule="auto"/>
        <w:rPr>
          <w:b/>
          <w:bCs/>
        </w:rPr>
      </w:pPr>
      <w:r>
        <w:rPr>
          <w:rFonts w:hint="eastAsia"/>
          <w:b/>
          <w:bCs/>
        </w:rPr>
        <w:t xml:space="preserve">一、学校概况 </w:t>
      </w:r>
    </w:p>
    <w:p>
      <w:pPr>
        <w:spacing w:line="360" w:lineRule="auto"/>
        <w:ind w:firstLine="420" w:firstLineChars="200"/>
      </w:pPr>
      <w:r>
        <w:rPr>
          <w:rFonts w:hint="eastAsia"/>
        </w:rPr>
        <w:t>成都银杏酒店管理学院（原成都信息工程大学银杏酒店管理学院）成立于2002年，是四川省首批经国家教育部批准设立，围绕现代服务业，尤其是酒店、旅游行业，多学科、多专业协调发展，实施本、专科学历教育的全日制应用型普通本科高校。</w:t>
      </w:r>
    </w:p>
    <w:p>
      <w:pPr>
        <w:spacing w:line="360" w:lineRule="auto"/>
        <w:ind w:firstLine="420" w:firstLineChars="200"/>
      </w:pPr>
      <w:r>
        <w:rPr>
          <w:rFonts w:hint="eastAsia"/>
        </w:rPr>
        <w:t>学校恪守“成就学生，服务社会”的办学理念，坚持产教融合、校企合作和国际化办学，着力培养从事现代服务业经营和管理的高素质应用型人才。</w:t>
      </w:r>
    </w:p>
    <w:p>
      <w:pPr>
        <w:spacing w:line="360" w:lineRule="auto"/>
        <w:ind w:firstLine="420" w:firstLineChars="200"/>
      </w:pPr>
      <w:r>
        <w:rPr>
          <w:rFonts w:hint="eastAsia"/>
        </w:rPr>
        <w:t>（一）学校全称：成都银杏酒店管理学院</w:t>
      </w:r>
    </w:p>
    <w:p>
      <w:pPr>
        <w:spacing w:line="360" w:lineRule="auto"/>
        <w:ind w:firstLine="420" w:firstLineChars="200"/>
      </w:pPr>
      <w:r>
        <w:rPr>
          <w:rFonts w:hint="eastAsia"/>
        </w:rPr>
        <w:t>学校网站：</w:t>
      </w:r>
      <w:r>
        <w:t>www.gingkoc.edu.cn</w:t>
      </w:r>
      <w:r>
        <w:rPr>
          <w:rFonts w:hint="eastAsia"/>
        </w:rPr>
        <w:t>，在川招生代码：5724。</w:t>
      </w:r>
    </w:p>
    <w:p>
      <w:pPr>
        <w:spacing w:line="360" w:lineRule="auto"/>
        <w:ind w:firstLine="420" w:firstLineChars="200"/>
      </w:pPr>
      <w:r>
        <w:rPr>
          <w:rFonts w:hint="eastAsia"/>
        </w:rPr>
        <w:t>（二）办学属性及层次：</w:t>
      </w:r>
    </w:p>
    <w:p>
      <w:pPr>
        <w:spacing w:line="360" w:lineRule="auto"/>
        <w:ind w:firstLine="420" w:firstLineChars="200"/>
      </w:pPr>
      <w:r>
        <w:rPr>
          <w:rFonts w:hint="eastAsia"/>
        </w:rPr>
        <w:t xml:space="preserve">全日制民办本科院校 </w:t>
      </w:r>
    </w:p>
    <w:p>
      <w:pPr>
        <w:spacing w:line="360" w:lineRule="auto"/>
        <w:ind w:firstLine="420" w:firstLineChars="200"/>
      </w:pPr>
      <w:r>
        <w:rPr>
          <w:rFonts w:hint="eastAsia"/>
        </w:rPr>
        <w:t>（三）专升本就读校址：</w:t>
      </w:r>
    </w:p>
    <w:p>
      <w:pPr>
        <w:spacing w:line="360" w:lineRule="auto"/>
        <w:ind w:firstLine="420" w:firstLineChars="200"/>
      </w:pPr>
      <w:r>
        <w:rPr>
          <w:rFonts w:hint="eastAsia"/>
        </w:rPr>
        <w:t>四川省成都市郫都区红光街道广场路北二段60号</w:t>
      </w:r>
    </w:p>
    <w:p>
      <w:pPr>
        <w:spacing w:line="360" w:lineRule="auto"/>
        <w:rPr>
          <w:b/>
          <w:bCs/>
        </w:rPr>
      </w:pPr>
      <w:r>
        <w:rPr>
          <w:rFonts w:hint="eastAsia"/>
          <w:b/>
          <w:bCs/>
        </w:rPr>
        <w:t>二、学费标准</w:t>
      </w:r>
    </w:p>
    <w:tbl>
      <w:tblPr>
        <w:tblStyle w:val="8"/>
        <w:tblW w:w="8458" w:type="dxa"/>
        <w:tblInd w:w="0" w:type="dxa"/>
        <w:tblLayout w:type="fixed"/>
        <w:tblCellMar>
          <w:top w:w="0" w:type="dxa"/>
          <w:left w:w="0" w:type="dxa"/>
          <w:bottom w:w="0" w:type="dxa"/>
          <w:right w:w="0" w:type="dxa"/>
        </w:tblCellMar>
      </w:tblPr>
      <w:tblGrid>
        <w:gridCol w:w="809"/>
        <w:gridCol w:w="2502"/>
        <w:gridCol w:w="2342"/>
        <w:gridCol w:w="1065"/>
        <w:gridCol w:w="1740"/>
      </w:tblGrid>
      <w:tr>
        <w:tblPrEx>
          <w:tblCellMar>
            <w:top w:w="0" w:type="dxa"/>
            <w:left w:w="0" w:type="dxa"/>
            <w:bottom w:w="0" w:type="dxa"/>
            <w:right w:w="0" w:type="dxa"/>
          </w:tblCellMar>
        </w:tblPrEx>
        <w:trPr>
          <w:trHeight w:val="85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eastAsia="宋体" w:cs="宋体"/>
                <w:b/>
                <w:color w:val="000000"/>
                <w:kern w:val="0"/>
                <w:szCs w:val="21"/>
                <w:lang w:bidi="ar"/>
              </w:rPr>
              <w:t>序号</w:t>
            </w:r>
          </w:p>
        </w:tc>
        <w:tc>
          <w:tcPr>
            <w:tcW w:w="2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eastAsia="宋体" w:cs="宋体"/>
                <w:b/>
                <w:color w:val="000000"/>
                <w:kern w:val="0"/>
                <w:szCs w:val="21"/>
                <w:lang w:bidi="ar"/>
              </w:rPr>
              <w:t>系别</w:t>
            </w:r>
          </w:p>
        </w:tc>
        <w:tc>
          <w:tcPr>
            <w:tcW w:w="2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eastAsia="宋体" w:cs="宋体"/>
                <w:b/>
                <w:color w:val="000000"/>
                <w:kern w:val="0"/>
                <w:szCs w:val="21"/>
                <w:lang w:bidi="ar"/>
              </w:rPr>
              <w:t>专业名称</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eastAsia="宋体" w:cs="宋体"/>
                <w:b/>
                <w:color w:val="000000"/>
                <w:kern w:val="0"/>
                <w:szCs w:val="21"/>
                <w:lang w:bidi="ar"/>
              </w:rPr>
              <w:t>学位授予门类</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eastAsia="宋体" w:cs="宋体"/>
                <w:b/>
                <w:color w:val="000000"/>
                <w:kern w:val="0"/>
                <w:szCs w:val="21"/>
                <w:lang w:bidi="ar"/>
              </w:rPr>
              <w:t>学费</w:t>
            </w:r>
            <w:r>
              <w:rPr>
                <w:rFonts w:hint="eastAsia" w:ascii="宋体" w:hAnsi="宋体" w:eastAsia="宋体" w:cs="宋体"/>
                <w:b/>
                <w:color w:val="000000"/>
                <w:kern w:val="0"/>
                <w:szCs w:val="21"/>
                <w:lang w:bidi="ar"/>
              </w:rPr>
              <w:br w:type="textWrapping"/>
            </w:r>
            <w:r>
              <w:rPr>
                <w:rFonts w:hint="eastAsia" w:ascii="宋体" w:hAnsi="宋体" w:eastAsia="宋体" w:cs="宋体"/>
                <w:b/>
                <w:color w:val="000000"/>
                <w:kern w:val="0"/>
                <w:szCs w:val="21"/>
                <w:lang w:bidi="ar"/>
              </w:rPr>
              <w:t>（元/年/生）</w:t>
            </w:r>
          </w:p>
        </w:tc>
      </w:tr>
      <w:tr>
        <w:tblPrEx>
          <w:tblCellMar>
            <w:top w:w="0" w:type="dxa"/>
            <w:left w:w="0" w:type="dxa"/>
            <w:bottom w:w="0" w:type="dxa"/>
            <w:right w:w="0" w:type="dxa"/>
          </w:tblCellMar>
        </w:tblPrEx>
        <w:trPr>
          <w:trHeight w:val="28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w:t>
            </w:r>
          </w:p>
        </w:tc>
        <w:tc>
          <w:tcPr>
            <w:tcW w:w="25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酒店管理系</w:t>
            </w:r>
          </w:p>
        </w:tc>
        <w:tc>
          <w:tcPr>
            <w:tcW w:w="2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酒店管理</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管理学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15000</w:t>
            </w:r>
          </w:p>
        </w:tc>
      </w:tr>
      <w:tr>
        <w:tblPrEx>
          <w:tblCellMar>
            <w:top w:w="0" w:type="dxa"/>
            <w:left w:w="0" w:type="dxa"/>
            <w:bottom w:w="0" w:type="dxa"/>
            <w:right w:w="0" w:type="dxa"/>
          </w:tblCellMar>
        </w:tblPrEx>
        <w:trPr>
          <w:trHeight w:val="28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2</w:t>
            </w:r>
          </w:p>
        </w:tc>
        <w:tc>
          <w:tcPr>
            <w:tcW w:w="25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2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物业管理</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管理学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15000</w:t>
            </w:r>
          </w:p>
        </w:tc>
      </w:tr>
      <w:tr>
        <w:tblPrEx>
          <w:tblCellMar>
            <w:top w:w="0" w:type="dxa"/>
            <w:left w:w="0" w:type="dxa"/>
            <w:bottom w:w="0" w:type="dxa"/>
            <w:right w:w="0" w:type="dxa"/>
          </w:tblCellMar>
        </w:tblPrEx>
        <w:trPr>
          <w:trHeight w:val="28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3</w:t>
            </w:r>
          </w:p>
        </w:tc>
        <w:tc>
          <w:tcPr>
            <w:tcW w:w="25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旅游管理系</w:t>
            </w:r>
          </w:p>
        </w:tc>
        <w:tc>
          <w:tcPr>
            <w:tcW w:w="2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旅游管理</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管理学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15000</w:t>
            </w:r>
          </w:p>
        </w:tc>
      </w:tr>
      <w:tr>
        <w:tblPrEx>
          <w:tblCellMar>
            <w:top w:w="0" w:type="dxa"/>
            <w:left w:w="0" w:type="dxa"/>
            <w:bottom w:w="0" w:type="dxa"/>
            <w:right w:w="0" w:type="dxa"/>
          </w:tblCellMar>
        </w:tblPrEx>
        <w:trPr>
          <w:trHeight w:val="28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4</w:t>
            </w:r>
          </w:p>
        </w:tc>
        <w:tc>
          <w:tcPr>
            <w:tcW w:w="25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2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文化产业管理</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管理学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15000</w:t>
            </w:r>
          </w:p>
        </w:tc>
      </w:tr>
      <w:tr>
        <w:tblPrEx>
          <w:tblCellMar>
            <w:top w:w="0" w:type="dxa"/>
            <w:left w:w="0" w:type="dxa"/>
            <w:bottom w:w="0" w:type="dxa"/>
            <w:right w:w="0" w:type="dxa"/>
          </w:tblCellMar>
        </w:tblPrEx>
        <w:trPr>
          <w:trHeight w:val="28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5</w:t>
            </w:r>
          </w:p>
        </w:tc>
        <w:tc>
          <w:tcPr>
            <w:tcW w:w="25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2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lang w:bidi="ar"/>
              </w:rPr>
            </w:pPr>
            <w:r>
              <w:rPr>
                <w:rFonts w:hint="eastAsia" w:ascii="宋体" w:hAnsi="宋体" w:eastAsia="宋体" w:cs="宋体"/>
                <w:color w:val="000000"/>
                <w:kern w:val="0"/>
                <w:szCs w:val="21"/>
                <w:lang w:bidi="ar"/>
              </w:rPr>
              <w:t>会展经济与管理</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lang w:bidi="ar"/>
              </w:rPr>
            </w:pPr>
            <w:r>
              <w:rPr>
                <w:rFonts w:hint="eastAsia" w:ascii="宋体" w:hAnsi="宋体" w:eastAsia="宋体" w:cs="宋体"/>
                <w:color w:val="000000"/>
                <w:kern w:val="0"/>
                <w:szCs w:val="21"/>
                <w:lang w:bidi="ar"/>
              </w:rPr>
              <w:t>管理学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lang w:bidi="ar"/>
              </w:rPr>
            </w:pPr>
            <w:r>
              <w:rPr>
                <w:rFonts w:hint="eastAsia" w:ascii="宋体" w:hAnsi="宋体" w:eastAsia="宋体" w:cs="宋体"/>
                <w:color w:val="000000"/>
                <w:kern w:val="0"/>
                <w:szCs w:val="21"/>
                <w:lang w:bidi="ar"/>
              </w:rPr>
              <w:t>15000</w:t>
            </w:r>
          </w:p>
        </w:tc>
      </w:tr>
      <w:tr>
        <w:tblPrEx>
          <w:tblCellMar>
            <w:top w:w="0" w:type="dxa"/>
            <w:left w:w="0" w:type="dxa"/>
            <w:bottom w:w="0" w:type="dxa"/>
            <w:right w:w="0" w:type="dxa"/>
          </w:tblCellMar>
        </w:tblPrEx>
        <w:trPr>
          <w:trHeight w:val="28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6</w:t>
            </w:r>
          </w:p>
        </w:tc>
        <w:tc>
          <w:tcPr>
            <w:tcW w:w="25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2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旅游管理与服务教育</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管理学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15000</w:t>
            </w:r>
          </w:p>
        </w:tc>
      </w:tr>
      <w:tr>
        <w:tblPrEx>
          <w:tblCellMar>
            <w:top w:w="0" w:type="dxa"/>
            <w:left w:w="0" w:type="dxa"/>
            <w:bottom w:w="0" w:type="dxa"/>
            <w:right w:w="0" w:type="dxa"/>
          </w:tblCellMar>
        </w:tblPrEx>
        <w:trPr>
          <w:trHeight w:val="28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7</w:t>
            </w:r>
          </w:p>
        </w:tc>
        <w:tc>
          <w:tcPr>
            <w:tcW w:w="25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财务管理系</w:t>
            </w:r>
          </w:p>
        </w:tc>
        <w:tc>
          <w:tcPr>
            <w:tcW w:w="2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会计学</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管理学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15000</w:t>
            </w:r>
          </w:p>
        </w:tc>
      </w:tr>
      <w:tr>
        <w:tblPrEx>
          <w:tblCellMar>
            <w:top w:w="0" w:type="dxa"/>
            <w:left w:w="0" w:type="dxa"/>
            <w:bottom w:w="0" w:type="dxa"/>
            <w:right w:w="0" w:type="dxa"/>
          </w:tblCellMar>
        </w:tblPrEx>
        <w:trPr>
          <w:trHeight w:val="28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8</w:t>
            </w:r>
          </w:p>
        </w:tc>
        <w:tc>
          <w:tcPr>
            <w:tcW w:w="25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2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财务管理</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管理学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15000</w:t>
            </w:r>
          </w:p>
        </w:tc>
      </w:tr>
      <w:tr>
        <w:tblPrEx>
          <w:tblCellMar>
            <w:top w:w="0" w:type="dxa"/>
            <w:left w:w="0" w:type="dxa"/>
            <w:bottom w:w="0" w:type="dxa"/>
            <w:right w:w="0" w:type="dxa"/>
          </w:tblCellMar>
        </w:tblPrEx>
        <w:trPr>
          <w:trHeight w:val="28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9</w:t>
            </w:r>
          </w:p>
        </w:tc>
        <w:tc>
          <w:tcPr>
            <w:tcW w:w="25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2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审计学</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管理学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15000</w:t>
            </w:r>
          </w:p>
        </w:tc>
      </w:tr>
      <w:tr>
        <w:tblPrEx>
          <w:tblCellMar>
            <w:top w:w="0" w:type="dxa"/>
            <w:left w:w="0" w:type="dxa"/>
            <w:bottom w:w="0" w:type="dxa"/>
            <w:right w:w="0" w:type="dxa"/>
          </w:tblCellMar>
        </w:tblPrEx>
        <w:trPr>
          <w:trHeight w:val="28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10</w:t>
            </w:r>
          </w:p>
        </w:tc>
        <w:tc>
          <w:tcPr>
            <w:tcW w:w="25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2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税收学</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经济学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15000</w:t>
            </w:r>
          </w:p>
        </w:tc>
      </w:tr>
      <w:tr>
        <w:tblPrEx>
          <w:tblCellMar>
            <w:top w:w="0" w:type="dxa"/>
            <w:left w:w="0" w:type="dxa"/>
            <w:bottom w:w="0" w:type="dxa"/>
            <w:right w:w="0" w:type="dxa"/>
          </w:tblCellMar>
        </w:tblPrEx>
        <w:trPr>
          <w:trHeight w:val="28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11</w:t>
            </w:r>
          </w:p>
        </w:tc>
        <w:tc>
          <w:tcPr>
            <w:tcW w:w="25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信息工程</w:t>
            </w:r>
            <w:r>
              <w:rPr>
                <w:rFonts w:hint="eastAsia" w:ascii="宋体" w:hAnsi="宋体" w:eastAsia="宋体" w:cs="宋体"/>
                <w:color w:val="000000"/>
                <w:kern w:val="0"/>
                <w:szCs w:val="21"/>
                <w:lang w:bidi="ar"/>
              </w:rPr>
              <w:br w:type="textWrapping"/>
            </w:r>
            <w:r>
              <w:rPr>
                <w:rFonts w:hint="eastAsia" w:ascii="宋体" w:hAnsi="宋体" w:eastAsia="宋体" w:cs="宋体"/>
                <w:color w:val="000000"/>
                <w:kern w:val="0"/>
                <w:szCs w:val="21"/>
                <w:lang w:bidi="ar"/>
              </w:rPr>
              <w:t>管理系</w:t>
            </w:r>
          </w:p>
        </w:tc>
        <w:tc>
          <w:tcPr>
            <w:tcW w:w="2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信息管理与信息系统</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管理学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15000</w:t>
            </w:r>
          </w:p>
        </w:tc>
      </w:tr>
      <w:tr>
        <w:tblPrEx>
          <w:tblCellMar>
            <w:top w:w="0" w:type="dxa"/>
            <w:left w:w="0" w:type="dxa"/>
            <w:bottom w:w="0" w:type="dxa"/>
            <w:right w:w="0" w:type="dxa"/>
          </w:tblCellMar>
        </w:tblPrEx>
        <w:trPr>
          <w:trHeight w:val="28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12</w:t>
            </w:r>
          </w:p>
        </w:tc>
        <w:tc>
          <w:tcPr>
            <w:tcW w:w="25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2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网络与新媒体</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文学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15000</w:t>
            </w:r>
          </w:p>
        </w:tc>
      </w:tr>
      <w:tr>
        <w:tblPrEx>
          <w:tblCellMar>
            <w:top w:w="0" w:type="dxa"/>
            <w:left w:w="0" w:type="dxa"/>
            <w:bottom w:w="0" w:type="dxa"/>
            <w:right w:w="0" w:type="dxa"/>
          </w:tblCellMar>
        </w:tblPrEx>
        <w:trPr>
          <w:trHeight w:val="28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13</w:t>
            </w:r>
          </w:p>
        </w:tc>
        <w:tc>
          <w:tcPr>
            <w:tcW w:w="25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2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数字媒体技术</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工学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15000</w:t>
            </w:r>
          </w:p>
        </w:tc>
      </w:tr>
      <w:tr>
        <w:tblPrEx>
          <w:tblCellMar>
            <w:top w:w="0" w:type="dxa"/>
            <w:left w:w="0" w:type="dxa"/>
            <w:bottom w:w="0" w:type="dxa"/>
            <w:right w:w="0" w:type="dxa"/>
          </w:tblCellMar>
        </w:tblPrEx>
        <w:trPr>
          <w:trHeight w:val="28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14</w:t>
            </w:r>
          </w:p>
        </w:tc>
        <w:tc>
          <w:tcPr>
            <w:tcW w:w="25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2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物流工程</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管理学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15000</w:t>
            </w:r>
          </w:p>
        </w:tc>
      </w:tr>
      <w:tr>
        <w:tblPrEx>
          <w:tblCellMar>
            <w:top w:w="0" w:type="dxa"/>
            <w:left w:w="0" w:type="dxa"/>
            <w:bottom w:w="0" w:type="dxa"/>
            <w:right w:w="0" w:type="dxa"/>
          </w:tblCellMar>
        </w:tblPrEx>
        <w:trPr>
          <w:trHeight w:val="28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w:t>
            </w:r>
          </w:p>
        </w:tc>
        <w:tc>
          <w:tcPr>
            <w:tcW w:w="25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2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电子商务</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管理学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15000</w:t>
            </w:r>
          </w:p>
        </w:tc>
      </w:tr>
      <w:tr>
        <w:tblPrEx>
          <w:tblCellMar>
            <w:top w:w="0" w:type="dxa"/>
            <w:left w:w="0" w:type="dxa"/>
            <w:bottom w:w="0" w:type="dxa"/>
            <w:right w:w="0" w:type="dxa"/>
          </w:tblCellMar>
        </w:tblPrEx>
        <w:trPr>
          <w:trHeight w:val="28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16</w:t>
            </w:r>
          </w:p>
        </w:tc>
        <w:tc>
          <w:tcPr>
            <w:tcW w:w="25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外语系</w:t>
            </w:r>
          </w:p>
        </w:tc>
        <w:tc>
          <w:tcPr>
            <w:tcW w:w="2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英语</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文学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15000</w:t>
            </w:r>
          </w:p>
        </w:tc>
      </w:tr>
      <w:tr>
        <w:tblPrEx>
          <w:tblCellMar>
            <w:top w:w="0" w:type="dxa"/>
            <w:left w:w="0" w:type="dxa"/>
            <w:bottom w:w="0" w:type="dxa"/>
            <w:right w:w="0" w:type="dxa"/>
          </w:tblCellMar>
        </w:tblPrEx>
        <w:trPr>
          <w:trHeight w:val="28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17</w:t>
            </w:r>
          </w:p>
        </w:tc>
        <w:tc>
          <w:tcPr>
            <w:tcW w:w="25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2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商务英语</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文学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15000</w:t>
            </w:r>
          </w:p>
        </w:tc>
      </w:tr>
      <w:tr>
        <w:tblPrEx>
          <w:tblCellMar>
            <w:top w:w="0" w:type="dxa"/>
            <w:left w:w="0" w:type="dxa"/>
            <w:bottom w:w="0" w:type="dxa"/>
            <w:right w:w="0" w:type="dxa"/>
          </w:tblCellMar>
        </w:tblPrEx>
        <w:trPr>
          <w:trHeight w:val="28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18</w:t>
            </w:r>
          </w:p>
        </w:tc>
        <w:tc>
          <w:tcPr>
            <w:tcW w:w="25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工商管理系</w:t>
            </w:r>
          </w:p>
        </w:tc>
        <w:tc>
          <w:tcPr>
            <w:tcW w:w="2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市场营销</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管理学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15000</w:t>
            </w:r>
          </w:p>
        </w:tc>
      </w:tr>
      <w:tr>
        <w:tblPrEx>
          <w:tblCellMar>
            <w:top w:w="0" w:type="dxa"/>
            <w:left w:w="0" w:type="dxa"/>
            <w:bottom w:w="0" w:type="dxa"/>
            <w:right w:w="0" w:type="dxa"/>
          </w:tblCellMar>
        </w:tblPrEx>
        <w:trPr>
          <w:trHeight w:val="28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19</w:t>
            </w:r>
          </w:p>
        </w:tc>
        <w:tc>
          <w:tcPr>
            <w:tcW w:w="25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2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人力资源管理</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管理学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15000</w:t>
            </w:r>
          </w:p>
        </w:tc>
      </w:tr>
      <w:tr>
        <w:tblPrEx>
          <w:tblCellMar>
            <w:top w:w="0" w:type="dxa"/>
            <w:left w:w="0" w:type="dxa"/>
            <w:bottom w:w="0" w:type="dxa"/>
            <w:right w:w="0" w:type="dxa"/>
          </w:tblCellMar>
        </w:tblPrEx>
        <w:trPr>
          <w:trHeight w:val="28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20</w:t>
            </w:r>
          </w:p>
        </w:tc>
        <w:tc>
          <w:tcPr>
            <w:tcW w:w="25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2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工程造价</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管理学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15000</w:t>
            </w:r>
          </w:p>
        </w:tc>
      </w:tr>
      <w:tr>
        <w:tblPrEx>
          <w:tblCellMar>
            <w:top w:w="0" w:type="dxa"/>
            <w:left w:w="0" w:type="dxa"/>
            <w:bottom w:w="0" w:type="dxa"/>
            <w:right w:w="0" w:type="dxa"/>
          </w:tblCellMar>
        </w:tblPrEx>
        <w:trPr>
          <w:trHeight w:val="28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21</w:t>
            </w:r>
          </w:p>
        </w:tc>
        <w:tc>
          <w:tcPr>
            <w:tcW w:w="25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设计艺术学院</w:t>
            </w:r>
          </w:p>
        </w:tc>
        <w:tc>
          <w:tcPr>
            <w:tcW w:w="2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视觉传达设计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艺术学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18000</w:t>
            </w:r>
          </w:p>
        </w:tc>
      </w:tr>
      <w:tr>
        <w:tblPrEx>
          <w:tblCellMar>
            <w:top w:w="0" w:type="dxa"/>
            <w:left w:w="0" w:type="dxa"/>
            <w:bottom w:w="0" w:type="dxa"/>
            <w:right w:w="0" w:type="dxa"/>
          </w:tblCellMar>
        </w:tblPrEx>
        <w:trPr>
          <w:trHeight w:val="28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22</w:t>
            </w:r>
          </w:p>
        </w:tc>
        <w:tc>
          <w:tcPr>
            <w:tcW w:w="25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2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环境设计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艺术学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18000</w:t>
            </w:r>
          </w:p>
        </w:tc>
      </w:tr>
      <w:tr>
        <w:tblPrEx>
          <w:tblCellMar>
            <w:top w:w="0" w:type="dxa"/>
            <w:left w:w="0" w:type="dxa"/>
            <w:bottom w:w="0" w:type="dxa"/>
            <w:right w:w="0" w:type="dxa"/>
          </w:tblCellMar>
        </w:tblPrEx>
        <w:trPr>
          <w:trHeight w:val="28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23</w:t>
            </w:r>
          </w:p>
        </w:tc>
        <w:tc>
          <w:tcPr>
            <w:tcW w:w="25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2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产品设计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艺术学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18000</w:t>
            </w:r>
          </w:p>
        </w:tc>
      </w:tr>
      <w:tr>
        <w:tblPrEx>
          <w:tblCellMar>
            <w:top w:w="0" w:type="dxa"/>
            <w:left w:w="0" w:type="dxa"/>
            <w:bottom w:w="0" w:type="dxa"/>
            <w:right w:w="0" w:type="dxa"/>
          </w:tblCellMar>
        </w:tblPrEx>
        <w:trPr>
          <w:trHeight w:val="28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24</w:t>
            </w:r>
          </w:p>
        </w:tc>
        <w:tc>
          <w:tcPr>
            <w:tcW w:w="25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2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服装与服饰设计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艺术学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18000</w:t>
            </w:r>
          </w:p>
        </w:tc>
      </w:tr>
      <w:tr>
        <w:tblPrEx>
          <w:tblCellMar>
            <w:top w:w="0" w:type="dxa"/>
            <w:left w:w="0" w:type="dxa"/>
            <w:bottom w:w="0" w:type="dxa"/>
            <w:right w:w="0" w:type="dxa"/>
          </w:tblCellMar>
        </w:tblPrEx>
        <w:trPr>
          <w:trHeight w:val="28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25</w:t>
            </w:r>
          </w:p>
        </w:tc>
        <w:tc>
          <w:tcPr>
            <w:tcW w:w="25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2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数字媒体艺术</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艺术学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18000</w:t>
            </w:r>
          </w:p>
        </w:tc>
      </w:tr>
      <w:tr>
        <w:tblPrEx>
          <w:tblCellMar>
            <w:top w:w="0" w:type="dxa"/>
            <w:left w:w="0" w:type="dxa"/>
            <w:bottom w:w="0" w:type="dxa"/>
            <w:right w:w="0" w:type="dxa"/>
          </w:tblCellMar>
        </w:tblPrEx>
        <w:trPr>
          <w:trHeight w:val="28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26</w:t>
            </w:r>
          </w:p>
        </w:tc>
        <w:tc>
          <w:tcPr>
            <w:tcW w:w="250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休闲运动管理系</w:t>
            </w:r>
          </w:p>
        </w:tc>
        <w:tc>
          <w:tcPr>
            <w:tcW w:w="2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休闲体育</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教育学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18000</w:t>
            </w:r>
          </w:p>
        </w:tc>
      </w:tr>
      <w:tr>
        <w:tblPrEx>
          <w:tblCellMar>
            <w:top w:w="0" w:type="dxa"/>
            <w:left w:w="0" w:type="dxa"/>
            <w:bottom w:w="0" w:type="dxa"/>
            <w:right w:w="0" w:type="dxa"/>
          </w:tblCellMar>
        </w:tblPrEx>
        <w:trPr>
          <w:trHeight w:val="28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27</w:t>
            </w:r>
          </w:p>
        </w:tc>
        <w:tc>
          <w:tcPr>
            <w:tcW w:w="250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lang w:bidi="ar"/>
              </w:rPr>
            </w:pPr>
          </w:p>
        </w:tc>
        <w:tc>
          <w:tcPr>
            <w:tcW w:w="2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体能训练</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lang w:bidi="ar"/>
              </w:rPr>
            </w:pPr>
            <w:r>
              <w:rPr>
                <w:rFonts w:hint="eastAsia" w:ascii="宋体" w:hAnsi="宋体" w:eastAsia="宋体" w:cs="宋体"/>
                <w:color w:val="000000"/>
                <w:kern w:val="0"/>
                <w:szCs w:val="21"/>
                <w:lang w:bidi="ar"/>
              </w:rPr>
              <w:t>教育学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lang w:bidi="ar"/>
              </w:rPr>
            </w:pPr>
            <w:r>
              <w:rPr>
                <w:rFonts w:hint="eastAsia" w:ascii="宋体" w:hAnsi="宋体" w:eastAsia="宋体" w:cs="宋体"/>
                <w:color w:val="000000"/>
                <w:kern w:val="0"/>
                <w:szCs w:val="21"/>
                <w:lang w:bidi="ar"/>
              </w:rPr>
              <w:t>18000</w:t>
            </w:r>
          </w:p>
        </w:tc>
      </w:tr>
    </w:tbl>
    <w:p>
      <w:pPr>
        <w:spacing w:line="360" w:lineRule="auto"/>
        <w:rPr>
          <w:b/>
          <w:bCs/>
        </w:rPr>
      </w:pPr>
    </w:p>
    <w:p>
      <w:pPr>
        <w:spacing w:line="360" w:lineRule="auto"/>
        <w:rPr>
          <w:b/>
          <w:bCs/>
        </w:rPr>
      </w:pPr>
      <w:r>
        <w:rPr>
          <w:rFonts w:hint="eastAsia"/>
          <w:b/>
          <w:bCs/>
        </w:rPr>
        <w:t>三、监督机制</w:t>
      </w:r>
    </w:p>
    <w:p>
      <w:pPr>
        <w:spacing w:line="360" w:lineRule="auto"/>
        <w:ind w:firstLine="420" w:firstLineChars="200"/>
      </w:pPr>
      <w:r>
        <w:rPr>
          <w:rFonts w:hint="eastAsia"/>
        </w:rPr>
        <w:t xml:space="preserve">学校成立由纪委、监察部门组成的招生工作监督小组，全程监督招生录取工作。招生工作监督小组组长由纪委书记担任，成员由纪委委员及监察部门负责人组成。招生工作监督的日常运行由纪委办公室负责，负责监督招生工作的各项政策和规定的落实，确保依法招生，维护广大考生和学校的合法权益。学校招生工作监督小组对专升本考试招生工作进行全过程全方位监督。 </w:t>
      </w:r>
    </w:p>
    <w:p>
      <w:pPr>
        <w:spacing w:line="360" w:lineRule="auto"/>
        <w:ind w:firstLine="420" w:firstLineChars="200"/>
      </w:pPr>
      <w:r>
        <w:rPr>
          <w:rFonts w:hint="eastAsia"/>
        </w:rPr>
        <w:t xml:space="preserve">学校招生工作将全面贯彻教育部有关文件精神，遵循“公平竞争，公正选拔，公开透明”的原则，大力推进招生“阳光工程”，为国家和学校选拔优秀人才。招生工作接受纪检监察部门、新闻媒体、考生、家长及社会各界的监督。 </w:t>
      </w:r>
    </w:p>
    <w:p>
      <w:pPr>
        <w:spacing w:line="360" w:lineRule="auto"/>
        <w:ind w:firstLine="420" w:firstLineChars="200"/>
      </w:pPr>
    </w:p>
    <w:p>
      <w:pPr>
        <w:spacing w:line="360" w:lineRule="auto"/>
        <w:rPr>
          <w:rFonts w:ascii="仿宋" w:hAnsi="仿宋" w:eastAsia="仿宋" w:cs="仿宋"/>
          <w:b/>
          <w:bCs/>
          <w:kern w:val="0"/>
          <w:sz w:val="30"/>
          <w:szCs w:val="30"/>
        </w:rPr>
      </w:pPr>
      <w:r>
        <w:rPr>
          <w:rFonts w:hint="eastAsia"/>
          <w:b/>
          <w:bCs/>
        </w:rPr>
        <w:t>四、联系方式</w:t>
      </w:r>
    </w:p>
    <w:p>
      <w:pPr>
        <w:spacing w:line="360" w:lineRule="auto"/>
        <w:ind w:firstLine="420" w:firstLineChars="200"/>
      </w:pPr>
      <w:r>
        <w:rPr>
          <w:rFonts w:hint="eastAsia"/>
        </w:rPr>
        <w:t xml:space="preserve">咨询电话：（028）87979220、87979000、87979300 </w:t>
      </w:r>
    </w:p>
    <w:p>
      <w:pPr>
        <w:spacing w:line="360" w:lineRule="auto"/>
        <w:ind w:firstLine="420" w:firstLineChars="200"/>
      </w:pPr>
      <w:r>
        <w:rPr>
          <w:rFonts w:hint="eastAsia"/>
        </w:rPr>
        <w:t xml:space="preserve">网络咨询：（QQ号）1120223558、2325548569 </w:t>
      </w:r>
    </w:p>
    <w:p>
      <w:pPr>
        <w:spacing w:line="360" w:lineRule="auto"/>
        <w:ind w:firstLine="420" w:firstLineChars="200"/>
      </w:pPr>
      <w:r>
        <w:rPr>
          <w:rFonts w:hint="eastAsia"/>
        </w:rPr>
        <w:t xml:space="preserve">学校网址：http://www.gingkoc.edu.cn </w:t>
      </w:r>
    </w:p>
    <w:p>
      <w:pPr>
        <w:spacing w:line="360" w:lineRule="auto"/>
        <w:ind w:firstLine="420" w:firstLineChars="200"/>
      </w:pPr>
      <w:r>
        <w:rPr>
          <w:rFonts w:hint="eastAsia"/>
        </w:rPr>
        <w:t xml:space="preserve">微信公众号：银杏酒店管理学院（YXJDGLXY） </w:t>
      </w:r>
    </w:p>
    <w:p>
      <w:pPr>
        <w:spacing w:line="360" w:lineRule="auto"/>
        <w:ind w:firstLine="420" w:firstLineChars="200"/>
      </w:pPr>
      <w:r>
        <w:rPr>
          <w:rFonts w:hint="eastAsia"/>
        </w:rPr>
        <w:t xml:space="preserve">电子邮箱：yxzs@gingkoc.edu.cn </w:t>
      </w:r>
    </w:p>
    <w:p>
      <w:pPr>
        <w:spacing w:line="360" w:lineRule="auto"/>
        <w:ind w:firstLine="420" w:firstLineChars="200"/>
      </w:pPr>
      <w:r>
        <w:rPr>
          <w:rFonts w:hint="eastAsia"/>
        </w:rPr>
        <w:t xml:space="preserve">通讯地址：四川省成都市郫都区红光街道广场路北二段60号 </w:t>
      </w:r>
    </w:p>
    <w:p>
      <w:pPr>
        <w:spacing w:line="360" w:lineRule="auto"/>
        <w:ind w:firstLine="420" w:firstLineChars="200"/>
      </w:pPr>
      <w:r>
        <w:rPr>
          <w:rFonts w:hint="eastAsia"/>
        </w:rPr>
        <w:t xml:space="preserve">邮  编：611743 </w:t>
      </w:r>
    </w:p>
    <w:p>
      <w:pPr>
        <w:spacing w:line="360" w:lineRule="auto"/>
        <w:ind w:firstLine="420" w:firstLineChars="200"/>
      </w:pPr>
      <w:r>
        <w:rPr>
          <w:rFonts w:hint="eastAsia"/>
        </w:rPr>
        <w:t xml:space="preserve">学校纪委监督工作邮箱：yxdi@gingkoc.edu.cn </w:t>
      </w:r>
    </w:p>
    <w:p>
      <w:pPr>
        <w:spacing w:line="360" w:lineRule="auto"/>
        <w:ind w:firstLine="420" w:firstLineChars="200"/>
        <w:rPr>
          <w:rFonts w:ascii="仿宋" w:hAnsi="仿宋" w:eastAsia="仿宋" w:cs="仿宋"/>
          <w:sz w:val="28"/>
          <w:szCs w:val="28"/>
        </w:rPr>
      </w:pPr>
      <w:r>
        <w:rPr>
          <w:rFonts w:hint="eastAsia"/>
        </w:rPr>
        <w:t>学校纪委监督工作电话：（028）87979006</w:t>
      </w:r>
    </w:p>
    <w:p>
      <w:pPr>
        <w:widowControl/>
        <w:jc w:val="left"/>
        <w:rPr>
          <w:rFonts w:ascii="仿宋" w:hAnsi="仿宋" w:eastAsia="仿宋" w:cs="仿宋"/>
          <w:sz w:val="28"/>
          <w:szCs w:val="28"/>
        </w:rPr>
      </w:pPr>
      <w:r>
        <w:rPr>
          <w:rFonts w:ascii="仿宋" w:hAnsi="仿宋" w:eastAsia="仿宋" w:cs="仿宋"/>
          <w:sz w:val="28"/>
          <w:szCs w:val="28"/>
        </w:rPr>
        <w:br w:type="page"/>
      </w:r>
    </w:p>
    <w:p>
      <w:pPr>
        <w:pStyle w:val="6"/>
        <w:spacing w:before="0" w:after="0" w:line="360" w:lineRule="auto"/>
        <w:outlineLvl w:val="9"/>
        <w:rPr>
          <w:sz w:val="36"/>
          <w:szCs w:val="36"/>
        </w:rPr>
      </w:pPr>
      <w:r>
        <w:rPr>
          <w:rFonts w:hint="eastAsia"/>
          <w:sz w:val="36"/>
          <w:szCs w:val="36"/>
        </w:rPr>
        <w:t>成都东软学院相关信息</w:t>
      </w:r>
    </w:p>
    <w:p>
      <w:pPr>
        <w:spacing w:line="360" w:lineRule="auto"/>
        <w:rPr>
          <w:b/>
        </w:rPr>
      </w:pPr>
      <w:r>
        <w:rPr>
          <w:rFonts w:hint="eastAsia"/>
          <w:b/>
        </w:rPr>
        <w:t>一、学校基本情况</w:t>
      </w:r>
    </w:p>
    <w:p>
      <w:pPr>
        <w:spacing w:line="360" w:lineRule="auto"/>
        <w:ind w:firstLine="420" w:firstLineChars="200"/>
      </w:pPr>
      <w:r>
        <w:rPr>
          <w:rFonts w:hint="eastAsia"/>
        </w:rPr>
        <w:t>成都东软学院是经国家教育部批准设立，由东软出资举办的一所以工学为主，管理学、艺术学、文学、医学等学科相互支撑、协调发展的全日制普通高等学校。学校以全日制本科教育为主，兼顾留学生教育和专科教育，并积极开展继续教育。学校位于世界自然文化遗产地——成都市都江堰-青城山风景区，校园风景优美，气候宜人。</w:t>
      </w:r>
    </w:p>
    <w:p>
      <w:pPr>
        <w:spacing w:line="360" w:lineRule="auto"/>
        <w:ind w:firstLine="420" w:firstLineChars="200"/>
      </w:pPr>
      <w:r>
        <w:rPr>
          <w:rFonts w:hint="eastAsia"/>
        </w:rPr>
        <w:t>学校有四川省“卓越工程师培养计划”专业3个，“专业综合改革试点”专业3个，四川省“民办高校重点特色专业质量提升计划”专业4个，四川省“地方普通本科高校应用型示范专业”6个，四川省一流本科专业建设点6个，省级精品资源共享课程2门，省级精品在线开放课程1门，省级普通本科高校应用型示范课程9门，省级“课程思政”示范课程7门，省级创新创业示范课程1门，省级线下一流课程4门，省级线上线下混合式一流课程5门，省级大学生校外实践基地2个，省级以上教学成果奖2项。2021年，学校成为四川省首批特色化示范性软件学院的立项建设单位，学校人工智能实验教学示范中心获批“省级实验教学示范中心”，网络工程虚拟仿真实验中心获批“省级虚拟仿真实验中心”。目前学校已累计为社会培养了3万余名毕业生。</w:t>
      </w:r>
    </w:p>
    <w:p>
      <w:pPr>
        <w:spacing w:line="360" w:lineRule="auto"/>
        <w:ind w:firstLine="420" w:firstLineChars="200"/>
      </w:pPr>
      <w:r>
        <w:rPr>
          <w:rFonts w:hint="eastAsia"/>
        </w:rPr>
        <w:t xml:space="preserve">在国家创新创业战略背景下，面对“互联网+”时代对创新人才的巨大需求，学校依托东软IT产业优势以及成都软件产业的环境优势，秉承“教育创造学生价值”的理念，明确了服务IT行业及区域经济发展的应用型办学定位，已发展成为产教深度融合的特色高校。   </w:t>
      </w:r>
    </w:p>
    <w:p>
      <w:pPr>
        <w:spacing w:line="360" w:lineRule="auto"/>
        <w:ind w:firstLine="420" w:firstLineChars="200"/>
      </w:pPr>
      <w:r>
        <w:rPr>
          <w:rFonts w:hint="eastAsia"/>
        </w:rPr>
        <w:t>学校与东软集团、华为、百度、腾讯、京东、阿里巴巴、微软、英特尔、IBM、SAP、惠普、思科等众多国内外知名企业建立了紧密的教育合作关系，运用产业和行业发展中的“新理论、新技术、新产品、新工具、新应用”持续更新教育教学，有50%的专任教师具有产业经验，同时与多所境外高校建立了友好合作关系。在快速发展的过程中，学校坚持OBE-TOPCARES方法学，紧紧围绕“产教融合、创新创业、国际合作”三个关键词，深入推进混合式教育教学改革，人才培养质量得到了用人单位、社会各界的广泛认可。</w:t>
      </w:r>
    </w:p>
    <w:p>
      <w:pPr>
        <w:spacing w:line="360" w:lineRule="auto"/>
        <w:rPr>
          <w:b/>
        </w:rPr>
      </w:pPr>
      <w:r>
        <w:rPr>
          <w:rFonts w:hint="eastAsia"/>
          <w:b/>
        </w:rPr>
        <w:t>二、学校网址</w:t>
      </w:r>
    </w:p>
    <w:p>
      <w:pPr>
        <w:spacing w:line="360" w:lineRule="auto"/>
      </w:pPr>
      <w:r>
        <w:rPr>
          <w:rFonts w:hint="eastAsia"/>
        </w:rPr>
        <w:t xml:space="preserve">   </w:t>
      </w:r>
      <w:r>
        <w:t>www.nsu.edu.cn</w:t>
      </w:r>
    </w:p>
    <w:p>
      <w:pPr>
        <w:spacing w:line="360" w:lineRule="auto"/>
        <w:rPr>
          <w:b/>
        </w:rPr>
      </w:pPr>
      <w:r>
        <w:rPr>
          <w:rFonts w:hint="eastAsia"/>
          <w:b/>
        </w:rPr>
        <w:t>三、学校咨询方式</w:t>
      </w:r>
    </w:p>
    <w:p>
      <w:pPr>
        <w:spacing w:line="360" w:lineRule="auto"/>
        <w:ind w:firstLine="420" w:firstLineChars="200"/>
      </w:pPr>
      <w:r>
        <w:rPr>
          <w:rFonts w:hint="eastAsia"/>
        </w:rPr>
        <w:t>028-64888001、64888002、64888003</w:t>
      </w:r>
    </w:p>
    <w:p>
      <w:pPr>
        <w:spacing w:line="360" w:lineRule="auto"/>
        <w:ind w:firstLine="420" w:firstLineChars="200"/>
      </w:pPr>
    </w:p>
    <w:p>
      <w:pPr>
        <w:spacing w:line="360" w:lineRule="auto"/>
        <w:rPr>
          <w:b/>
        </w:rPr>
      </w:pPr>
      <w:r>
        <w:rPr>
          <w:rFonts w:hint="eastAsia"/>
          <w:b/>
        </w:rPr>
        <w:t>四、学校办学地点</w:t>
      </w:r>
    </w:p>
    <w:p>
      <w:pPr>
        <w:spacing w:line="360" w:lineRule="auto"/>
        <w:ind w:firstLine="420" w:firstLineChars="200"/>
      </w:pPr>
      <w:r>
        <w:rPr>
          <w:rFonts w:hint="eastAsia"/>
        </w:rPr>
        <w:t>四川省成都市都江堰市青城山镇东软大道一号成都东软学院</w:t>
      </w:r>
    </w:p>
    <w:p>
      <w:pPr>
        <w:spacing w:line="360" w:lineRule="auto"/>
        <w:rPr>
          <w:b/>
        </w:rPr>
      </w:pPr>
      <w:r>
        <w:rPr>
          <w:rFonts w:hint="eastAsia"/>
          <w:b/>
        </w:rPr>
        <w:t>五、学费标准</w:t>
      </w:r>
    </w:p>
    <w:p>
      <w:pPr>
        <w:spacing w:line="360" w:lineRule="auto"/>
        <w:ind w:firstLine="420" w:firstLineChars="200"/>
        <w:rPr>
          <w:rFonts w:asciiTheme="minorEastAsia" w:hAnsiTheme="minorEastAsia"/>
          <w:szCs w:val="21"/>
        </w:rPr>
      </w:pPr>
      <w:r>
        <w:rPr>
          <w:rFonts w:hint="eastAsia" w:asciiTheme="minorEastAsia" w:hAnsiTheme="minorEastAsia"/>
          <w:szCs w:val="21"/>
        </w:rPr>
        <w:t>我校各专业学费如下：</w:t>
      </w:r>
    </w:p>
    <w:p>
      <w:pPr>
        <w:spacing w:line="360" w:lineRule="auto"/>
        <w:ind w:firstLine="420" w:firstLineChars="200"/>
        <w:rPr>
          <w:rFonts w:asciiTheme="minorEastAsia" w:hAnsiTheme="minorEastAsia"/>
          <w:szCs w:val="21"/>
        </w:rPr>
      </w:pPr>
      <w:r>
        <w:rPr>
          <w:rFonts w:hint="eastAsia" w:asciiTheme="minorEastAsia" w:hAnsiTheme="minorEastAsia"/>
          <w:szCs w:val="21"/>
        </w:rPr>
        <w:t>动画、艺术与科技、数字媒体艺术： 19000元/年·人</w:t>
      </w:r>
    </w:p>
    <w:p>
      <w:pPr>
        <w:spacing w:line="360" w:lineRule="auto"/>
        <w:ind w:firstLine="420" w:firstLineChars="200"/>
        <w:rPr>
          <w:rFonts w:asciiTheme="minorEastAsia" w:hAnsiTheme="minorEastAsia"/>
          <w:szCs w:val="21"/>
        </w:rPr>
      </w:pPr>
      <w:r>
        <w:rPr>
          <w:rFonts w:hint="eastAsia" w:asciiTheme="minorEastAsia" w:hAnsiTheme="minorEastAsia"/>
          <w:szCs w:val="21"/>
        </w:rPr>
        <w:t>其余专业： 18000元/年·人</w:t>
      </w:r>
    </w:p>
    <w:p>
      <w:pPr>
        <w:spacing w:line="360" w:lineRule="auto"/>
        <w:rPr>
          <w:b/>
        </w:rPr>
      </w:pPr>
      <w:r>
        <w:rPr>
          <w:rFonts w:hint="eastAsia"/>
          <w:b/>
        </w:rPr>
        <w:t>六、监督机制</w:t>
      </w:r>
    </w:p>
    <w:p>
      <w:pPr>
        <w:spacing w:line="360" w:lineRule="auto"/>
        <w:ind w:firstLine="420"/>
      </w:pPr>
      <w:r>
        <w:rPr>
          <w:rFonts w:hint="eastAsia"/>
        </w:rPr>
        <w:t>我校成立由主要领导负责的“专升本”工作领导小组，加强对“专升本”选送、选拔录取工作的集体领导。纪检部门对“专升本”工作全程监督，确保“专升本”工作的公开、公平、公正，切实保证选拔质量。</w:t>
      </w:r>
    </w:p>
    <w:p>
      <w:pPr>
        <w:spacing w:line="360" w:lineRule="auto"/>
        <w:rPr>
          <w:b/>
        </w:rPr>
      </w:pPr>
      <w:r>
        <w:rPr>
          <w:rFonts w:hint="eastAsia"/>
          <w:b/>
        </w:rPr>
        <w:t>七、申述渠道</w:t>
      </w:r>
    </w:p>
    <w:p>
      <w:pPr>
        <w:spacing w:line="360" w:lineRule="auto"/>
        <w:ind w:firstLine="420" w:firstLineChars="200"/>
      </w:pPr>
      <w:r>
        <w:rPr>
          <w:rFonts w:hint="eastAsia"/>
        </w:rPr>
        <w:t>申诉电话：028-64888000</w:t>
      </w:r>
    </w:p>
    <w:p>
      <w:pPr>
        <w:rPr>
          <w:rFonts w:ascii="仿宋" w:hAnsi="仿宋" w:eastAsia="仿宋" w:cs="仿宋"/>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A"/>
    <w:rsid w:val="00091BB0"/>
    <w:rsid w:val="00091F69"/>
    <w:rsid w:val="000A28F4"/>
    <w:rsid w:val="00180AF6"/>
    <w:rsid w:val="001F142F"/>
    <w:rsid w:val="00201CB3"/>
    <w:rsid w:val="002E22CE"/>
    <w:rsid w:val="003A5AF7"/>
    <w:rsid w:val="004871BA"/>
    <w:rsid w:val="005323A4"/>
    <w:rsid w:val="00572E75"/>
    <w:rsid w:val="005C6142"/>
    <w:rsid w:val="00647952"/>
    <w:rsid w:val="006D1F52"/>
    <w:rsid w:val="006F11DD"/>
    <w:rsid w:val="008F06CF"/>
    <w:rsid w:val="009366B5"/>
    <w:rsid w:val="00A07363"/>
    <w:rsid w:val="00C6029D"/>
    <w:rsid w:val="00DE5F38"/>
    <w:rsid w:val="00E3456C"/>
    <w:rsid w:val="00E8438C"/>
    <w:rsid w:val="00EB2830"/>
    <w:rsid w:val="00EC04EA"/>
    <w:rsid w:val="00ED1A9E"/>
    <w:rsid w:val="00F37C6C"/>
    <w:rsid w:val="00F410EA"/>
    <w:rsid w:val="00F74313"/>
    <w:rsid w:val="06F11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5"/>
    <w:semiHidden/>
    <w:unhideWhenUsed/>
    <w:uiPriority w:val="99"/>
    <w:pPr>
      <w:spacing w:after="120"/>
      <w:ind w:left="420" w:leftChars="200"/>
    </w:pPr>
  </w:style>
  <w:style w:type="paragraph" w:styleId="3">
    <w:name w:val="footer"/>
    <w:basedOn w:val="1"/>
    <w:link w:val="13"/>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Title"/>
    <w:basedOn w:val="1"/>
    <w:next w:val="1"/>
    <w:link w:val="14"/>
    <w:qFormat/>
    <w:uiPriority w:val="10"/>
    <w:pPr>
      <w:spacing w:before="240" w:after="60"/>
      <w:jc w:val="center"/>
      <w:outlineLvl w:val="0"/>
    </w:pPr>
    <w:rPr>
      <w:rFonts w:eastAsia="宋体" w:asciiTheme="majorHAnsi" w:hAnsiTheme="majorHAnsi" w:cstheme="majorBidi"/>
      <w:b/>
      <w:bCs/>
      <w:sz w:val="32"/>
      <w:szCs w:val="32"/>
    </w:rPr>
  </w:style>
  <w:style w:type="paragraph" w:styleId="7">
    <w:name w:val="Body Text First Indent 2"/>
    <w:basedOn w:val="2"/>
    <w:next w:val="1"/>
    <w:link w:val="16"/>
    <w:unhideWhenUsed/>
    <w:qFormat/>
    <w:uiPriority w:val="99"/>
    <w:pPr>
      <w:spacing w:after="0"/>
      <w:ind w:firstLine="420" w:firstLineChars="200"/>
    </w:pPr>
    <w:rPr>
      <w:rFonts w:ascii="Times New Roman" w:hAnsi="Times New Roman" w:eastAsia="宋体" w:cs="Calibri"/>
      <w:szCs w:val="21"/>
    </w:rPr>
  </w:style>
  <w:style w:type="character" w:styleId="10">
    <w:name w:val="Strong"/>
    <w:basedOn w:val="9"/>
    <w:qFormat/>
    <w:uiPriority w:val="22"/>
    <w:rPr>
      <w:b/>
      <w:bCs/>
    </w:rPr>
  </w:style>
  <w:style w:type="character" w:styleId="11">
    <w:name w:val="Hyperlink"/>
    <w:uiPriority w:val="0"/>
    <w:rPr>
      <w:color w:val="0563C1"/>
      <w:u w:val="single"/>
    </w:rPr>
  </w:style>
  <w:style w:type="character" w:customStyle="1" w:styleId="12">
    <w:name w:val="页眉 Char"/>
    <w:basedOn w:val="9"/>
    <w:link w:val="4"/>
    <w:uiPriority w:val="99"/>
    <w:rPr>
      <w:sz w:val="18"/>
      <w:szCs w:val="18"/>
    </w:rPr>
  </w:style>
  <w:style w:type="character" w:customStyle="1" w:styleId="13">
    <w:name w:val="页脚 Char"/>
    <w:basedOn w:val="9"/>
    <w:link w:val="3"/>
    <w:uiPriority w:val="99"/>
    <w:rPr>
      <w:sz w:val="18"/>
      <w:szCs w:val="18"/>
    </w:rPr>
  </w:style>
  <w:style w:type="character" w:customStyle="1" w:styleId="14">
    <w:name w:val="标题 Char"/>
    <w:basedOn w:val="9"/>
    <w:link w:val="6"/>
    <w:qFormat/>
    <w:uiPriority w:val="10"/>
    <w:rPr>
      <w:rFonts w:eastAsia="宋体" w:asciiTheme="majorHAnsi" w:hAnsiTheme="majorHAnsi" w:cstheme="majorBidi"/>
      <w:b/>
      <w:bCs/>
      <w:sz w:val="32"/>
      <w:szCs w:val="32"/>
    </w:rPr>
  </w:style>
  <w:style w:type="character" w:customStyle="1" w:styleId="15">
    <w:name w:val="正文文本缩进 Char"/>
    <w:basedOn w:val="9"/>
    <w:link w:val="2"/>
    <w:semiHidden/>
    <w:uiPriority w:val="99"/>
  </w:style>
  <w:style w:type="character" w:customStyle="1" w:styleId="16">
    <w:name w:val="正文首行缩进 2 Char"/>
    <w:basedOn w:val="15"/>
    <w:link w:val="7"/>
    <w:uiPriority w:val="99"/>
    <w:rPr>
      <w:rFonts w:ascii="Times New Roman" w:hAnsi="Times New Roman" w:eastAsia="宋体" w:cs="Calibri"/>
      <w:szCs w:val="21"/>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1283</Words>
  <Characters>7318</Characters>
  <Lines>60</Lines>
  <Paragraphs>17</Paragraphs>
  <TotalTime>0</TotalTime>
  <ScaleCrop>false</ScaleCrop>
  <LinksUpToDate>false</LinksUpToDate>
  <CharactersWithSpaces>8584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2022-03-09T07:10:00Z</dcterms:created>
  <dc:creator>User</dc:creator>
  <cp:lastModifiedBy>Administrator</cp:lastModifiedBy>
  <dcterms:modified xsi:type="dcterms:W3CDTF">2022-03-10T09:40:48Z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8F507671979E466B9E5E89A509FD87AB</vt:lpwstr>
  </property>
</Properties>
</file>