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00D9" w14:textId="77777777" w:rsidR="002F27BE" w:rsidRDefault="00513C1D" w:rsidP="002F27BE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D9307B">
        <w:rPr>
          <w:rFonts w:ascii="Times New Roman" w:eastAsia="黑体" w:hAnsi="Times New Roman" w:cs="Times New Roman"/>
          <w:sz w:val="32"/>
          <w:szCs w:val="36"/>
        </w:rPr>
        <w:t>天水师范学院</w:t>
      </w:r>
    </w:p>
    <w:p w14:paraId="3551D304" w14:textId="11589A8E" w:rsidR="00E92F8A" w:rsidRPr="00D9307B" w:rsidRDefault="00513C1D" w:rsidP="002F27BE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D9307B">
        <w:rPr>
          <w:rFonts w:ascii="Times New Roman" w:eastAsia="黑体" w:hAnsi="Times New Roman" w:cs="Times New Roman"/>
          <w:sz w:val="32"/>
          <w:szCs w:val="36"/>
        </w:rPr>
        <w:t>2021</w:t>
      </w:r>
      <w:r w:rsidRPr="00D9307B">
        <w:rPr>
          <w:rFonts w:ascii="Times New Roman" w:eastAsia="黑体" w:hAnsi="Times New Roman" w:cs="Times New Roman"/>
          <w:sz w:val="32"/>
          <w:szCs w:val="36"/>
        </w:rPr>
        <w:t>年专升</w:t>
      </w:r>
      <w:proofErr w:type="gramStart"/>
      <w:r w:rsidRPr="00D9307B">
        <w:rPr>
          <w:rFonts w:ascii="Times New Roman" w:eastAsia="黑体" w:hAnsi="Times New Roman" w:cs="Times New Roman"/>
          <w:sz w:val="32"/>
          <w:szCs w:val="36"/>
        </w:rPr>
        <w:t>本食品</w:t>
      </w:r>
      <w:proofErr w:type="gramEnd"/>
      <w:r w:rsidRPr="00D9307B">
        <w:rPr>
          <w:rFonts w:ascii="Times New Roman" w:eastAsia="黑体" w:hAnsi="Times New Roman" w:cs="Times New Roman"/>
          <w:sz w:val="32"/>
          <w:szCs w:val="36"/>
        </w:rPr>
        <w:t>质量与安全专业考试大纲</w:t>
      </w:r>
    </w:p>
    <w:p w14:paraId="1A33D31E" w14:textId="77777777" w:rsidR="00C71CEB" w:rsidRPr="00903341" w:rsidRDefault="00C71CEB" w:rsidP="00C71CEB">
      <w:pPr>
        <w:spacing w:line="460" w:lineRule="exact"/>
        <w:jc w:val="center"/>
        <w:rPr>
          <w:rFonts w:ascii="Times New Roman" w:eastAsia="仿宋" w:hAnsi="Times New Roman" w:cs="Times New Roman"/>
          <w:sz w:val="32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2410"/>
        <w:gridCol w:w="1638"/>
      </w:tblGrid>
      <w:tr w:rsidR="007A696B" w:rsidRPr="00903341" w14:paraId="31239FA0" w14:textId="77777777" w:rsidTr="00FB728C">
        <w:tc>
          <w:tcPr>
            <w:tcW w:w="4248" w:type="dxa"/>
            <w:gridSpan w:val="2"/>
          </w:tcPr>
          <w:p w14:paraId="4617097F" w14:textId="48039157" w:rsidR="007A696B" w:rsidRPr="00753776" w:rsidRDefault="007A696B" w:rsidP="00337083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</w:pPr>
            <w:r w:rsidRPr="00753776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  <w:t>专业名称</w:t>
            </w:r>
          </w:p>
        </w:tc>
        <w:tc>
          <w:tcPr>
            <w:tcW w:w="4048" w:type="dxa"/>
            <w:gridSpan w:val="2"/>
          </w:tcPr>
          <w:p w14:paraId="6F3075C9" w14:textId="5EC12367" w:rsidR="007A696B" w:rsidRPr="00903341" w:rsidRDefault="007A696B" w:rsidP="00337083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7"/>
                <w:szCs w:val="27"/>
              </w:rPr>
            </w:pPr>
            <w:r w:rsidRPr="00903341">
              <w:rPr>
                <w:rFonts w:ascii="Times New Roman" w:eastAsia="仿宋" w:hAnsi="Times New Roman" w:cs="Times New Roman"/>
                <w:color w:val="342828"/>
                <w:kern w:val="0"/>
                <w:sz w:val="27"/>
                <w:szCs w:val="27"/>
              </w:rPr>
              <w:t>食品质量与安全</w:t>
            </w:r>
          </w:p>
        </w:tc>
      </w:tr>
      <w:tr w:rsidR="007A696B" w:rsidRPr="00903341" w14:paraId="2830C5C4" w14:textId="77777777" w:rsidTr="0048245E">
        <w:tc>
          <w:tcPr>
            <w:tcW w:w="8296" w:type="dxa"/>
            <w:gridSpan w:val="4"/>
          </w:tcPr>
          <w:p w14:paraId="5DC6A18F" w14:textId="76950E0B" w:rsidR="007A696B" w:rsidRPr="00753776" w:rsidRDefault="007A696B" w:rsidP="00337083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</w:pPr>
            <w:r w:rsidRPr="00753776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一、</w:t>
            </w: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考试内容</w:t>
            </w:r>
            <w:r w:rsidR="008C70FE">
              <w:rPr>
                <w:rFonts w:ascii="Times New Roman" w:eastAsia="仿宋" w:hAnsi="Times New Roman" w:cs="Times New Roman" w:hint="eastAsia"/>
                <w:b/>
                <w:bCs/>
                <w:color w:val="333333"/>
                <w:kern w:val="0"/>
                <w:sz w:val="27"/>
                <w:szCs w:val="27"/>
              </w:rPr>
              <w:t>和</w:t>
            </w: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范围</w:t>
            </w:r>
          </w:p>
        </w:tc>
      </w:tr>
      <w:tr w:rsidR="007A696B" w:rsidRPr="00903341" w14:paraId="2287830B" w14:textId="77777777" w:rsidTr="007A696B">
        <w:tc>
          <w:tcPr>
            <w:tcW w:w="8296" w:type="dxa"/>
            <w:gridSpan w:val="4"/>
            <w:vAlign w:val="center"/>
          </w:tcPr>
          <w:p w14:paraId="3ACEBB6C" w14:textId="4F59CE01" w:rsidR="007A696B" w:rsidRPr="00FB4977" w:rsidRDefault="007A696B" w:rsidP="00337083">
            <w:pPr>
              <w:spacing w:beforeLines="50" w:before="156" w:afterLines="20" w:after="62" w:line="4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第一部分</w:t>
            </w:r>
            <w:r w:rsidR="00A559F4"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 xml:space="preserve"> </w:t>
            </w:r>
            <w:r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食品质量与安全专业导论</w:t>
            </w:r>
          </w:p>
          <w:p w14:paraId="27F8E4D2" w14:textId="77777777" w:rsidR="007A696B" w:rsidRPr="00FB4977" w:rsidRDefault="007A696B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【考核目标与要求】</w:t>
            </w:r>
          </w:p>
          <w:p w14:paraId="126F1AD1" w14:textId="115FBD42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对食品质量与安全专业有</w:t>
            </w:r>
            <w:r w:rsidR="00A559F4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基本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了解，熟悉食品质量与安全研究领域涉及的</w:t>
            </w:r>
            <w:r w:rsidR="00C71CEB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知识和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内容</w:t>
            </w:r>
            <w:r w:rsidR="00C71CEB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熟悉食品质量安全控制因素</w:t>
            </w:r>
            <w:r w:rsidR="00C71CEB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了解食品质量与安全学科前沿</w:t>
            </w:r>
            <w:r w:rsidR="00C71CEB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和发展趋势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。</w:t>
            </w:r>
          </w:p>
          <w:p w14:paraId="4B648530" w14:textId="77777777" w:rsidR="007A696B" w:rsidRPr="00FB4977" w:rsidRDefault="007A696B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【考试范围与要求】</w:t>
            </w:r>
          </w:p>
          <w:p w14:paraId="6A56644B" w14:textId="30BF129A" w:rsidR="007A696B" w:rsidRPr="00FB4977" w:rsidRDefault="008C70FE" w:rsidP="003C2AF2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食品质量与安全研究领域（食品微生物学、食品化学、食品营养学、食品工艺学、食品感官评定、食品质量管理和安全控制等）</w:t>
            </w:r>
            <w:r w:rsidR="00D9307B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53F76D4F" w14:textId="1595B071" w:rsidR="007A696B" w:rsidRPr="00FB4977" w:rsidRDefault="008C70FE" w:rsidP="003C2AF2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食品质量与安全的发展趋势（国家食品质量安全相关政策、标准和法规，</w:t>
            </w:r>
            <w:r w:rsidR="0092539A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食品质量安全</w:t>
            </w:r>
            <w:r w:rsidR="0092539A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经典案例，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食品质量安全检测技术</w:t>
            </w:r>
            <w:r w:rsidR="00182435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研究</w:t>
            </w:r>
            <w:r w:rsidR="0092539A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前沿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及进展）</w:t>
            </w:r>
            <w:r w:rsidR="00D9307B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0375FBAB" w14:textId="4E27FE30" w:rsidR="007A696B" w:rsidRPr="00FB4977" w:rsidRDefault="007A696B" w:rsidP="00337083">
            <w:pPr>
              <w:spacing w:beforeLines="50" w:before="156" w:afterLines="20" w:after="62" w:line="4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第二部分</w:t>
            </w:r>
            <w:r w:rsidR="00A559F4"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 xml:space="preserve"> </w:t>
            </w:r>
            <w:r w:rsidRPr="0072510F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食品微生物学课程考试大纲</w:t>
            </w:r>
          </w:p>
          <w:p w14:paraId="60447F86" w14:textId="77777777" w:rsidR="007A696B" w:rsidRPr="00FB4977" w:rsidRDefault="007A696B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【考核目标与要求】</w:t>
            </w:r>
          </w:p>
          <w:p w14:paraId="3EDD1E8E" w14:textId="6639A335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掌握微生物学的基本</w:t>
            </w:r>
            <w:r w:rsidR="00BA3799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知识、基本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原理及其在食品生产过程中的应用，了解食品防腐、保藏和质量控制的基本原理及技术措施。</w:t>
            </w:r>
          </w:p>
          <w:p w14:paraId="43EA167C" w14:textId="77777777" w:rsidR="007A696B" w:rsidRPr="00FB4977" w:rsidRDefault="007A696B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【考试范围与要求】</w:t>
            </w:r>
          </w:p>
          <w:p w14:paraId="066D7847" w14:textId="21251145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食品微生物学概述</w:t>
            </w:r>
          </w:p>
          <w:p w14:paraId="2BD9691C" w14:textId="37A9DF55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微生物的概念和特点；微生物学及其分支学科；食品微生物学的历史；食品微生物学发展及其未来。</w:t>
            </w:r>
          </w:p>
          <w:p w14:paraId="4EA230EF" w14:textId="192875F6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微生物的形态与结构</w:t>
            </w:r>
          </w:p>
          <w:p w14:paraId="1BCF3875" w14:textId="0F8D0087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细菌的形态、结构与功能以及菌落形态；真菌的营养体、结构与功能</w:t>
            </w:r>
            <w:r w:rsidR="006275E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菌落形态及繁殖方式；非细胞微生物的形态、结构与功能以及繁殖方式。</w:t>
            </w:r>
          </w:p>
          <w:p w14:paraId="77B5AFC7" w14:textId="773E8519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微生物的营养与生长</w:t>
            </w:r>
          </w:p>
          <w:p w14:paraId="7E9867C2" w14:textId="30539BF6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微生物的营养（微生物的六大营养素、微生物营养类型、营养物质进入微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lastRenderedPageBreak/>
              <w:t>生物细胞的方式、培养基）</w:t>
            </w:r>
            <w:r w:rsid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；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微生物的生长（微生物生长量的测定方法、微生物的群体生长规律、影响微生物生长的因素、有害微生物的控制）</w:t>
            </w:r>
            <w:r w:rsid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37D184F3" w14:textId="5B8D0241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四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微生物的代谢</w:t>
            </w:r>
          </w:p>
          <w:p w14:paraId="5BA44649" w14:textId="56BBF6ED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的能量代谢（化能异养菌的生物氧化与产能、自养菌的生物氧化与产能）；微生物的分解代谢和合成代谢（分解代谢与大分子物质的降解、合成代谢与生物大分子物质的合成、分解代谢与合成代谢的关系）；微生物的初级代谢和次级代谢。</w:t>
            </w:r>
          </w:p>
          <w:p w14:paraId="482944CC" w14:textId="4C41DF16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五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微生物遗传与育种</w:t>
            </w:r>
          </w:p>
          <w:p w14:paraId="20313313" w14:textId="164BB2E1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微生物遗传的物质基础；微生物的基因、基因组和质粒；微生物基因突变和诱变育种；微生物的基因重组与育种；菌种的保藏与复壮。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 </w:t>
            </w:r>
          </w:p>
          <w:p w14:paraId="1A81298F" w14:textId="09A0D2B0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六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微生物分子进化与分类学</w:t>
            </w:r>
          </w:p>
          <w:p w14:paraId="5F21A49A" w14:textId="068AF513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核糖体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RNA 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序列分析与</w:t>
            </w:r>
            <w:proofErr w:type="gramStart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生物三域理论</w:t>
            </w:r>
            <w:proofErr w:type="gramEnd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；基因结构的进化及物种的形成；分类学与命名法则；细菌分类系统概要（伯杰氏细菌分类系统、原核生物分类系统、食品中常见的细菌代表属概要）；真菌系统分类概要（真菌的分类原则和依据、真菌的分类系统、食品中常见的真菌代表属概要）。</w:t>
            </w:r>
          </w:p>
          <w:p w14:paraId="28B48096" w14:textId="45FB65F1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七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微生物生态</w:t>
            </w:r>
          </w:p>
          <w:p w14:paraId="55018995" w14:textId="2DFD3E1F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基本概念（微生物生态学与生态系统、种群与群落、微环境、环境梯度与耐受限度、食品中的微生物生态系</w:t>
            </w:r>
            <w:r w:rsidR="00574DE0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统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；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微生物在自然界中的分布；微生物与生物环境间的相互关系；微生物污染食品的途径。</w:t>
            </w:r>
          </w:p>
          <w:p w14:paraId="37080267" w14:textId="29C87C92" w:rsidR="007A696B" w:rsidRPr="00FB4977" w:rsidRDefault="008C70FE" w:rsidP="00CA740C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八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微生物与食品酿造</w:t>
            </w:r>
          </w:p>
          <w:p w14:paraId="28F74437" w14:textId="108DEC6E" w:rsidR="007A696B" w:rsidRPr="00FB4977" w:rsidRDefault="007A696B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微生物与食品酿造（细菌与食品酿造、真菌与食品酿造、微生物与酿造酒、微生物与酿造调味品、微生物与肉品发酵）；酿造食品的微生物危害（酿造食品中的霉菌毒素、酿造食品中的细菌危害）。</w:t>
            </w:r>
          </w:p>
          <w:p w14:paraId="02D05278" w14:textId="4CA09D58" w:rsidR="004B4C14" w:rsidRPr="00FB4977" w:rsidRDefault="008C70FE" w:rsidP="004B4C14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九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4B4C14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食品腐败与食品保藏</w:t>
            </w:r>
          </w:p>
          <w:p w14:paraId="111BD9B2" w14:textId="0CF874CD" w:rsidR="007A696B" w:rsidRPr="00FB4977" w:rsidRDefault="004B4C14" w:rsidP="004B4C14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的腐败变质（微生物引起食品腐败变质的基本条件、微生物引起食品腐败变质的鉴定）；食品腐败变质的机理（食品中蛋白质的分解、食品中的脂肪分解、食品中的碳水化合物的分解）；食品腐败变质与食品类型的相关性（乳类、肉类、水产品、鲜蛋、罐藏食品、果</w:t>
            </w:r>
            <w:proofErr w:type="gramStart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蔬及其</w:t>
            </w:r>
            <w:proofErr w:type="gramEnd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制品、糕点等食品的腐败变质）；食品防腐技术（食品保藏技术、食品综合防腐保鲜理论与技术）。</w:t>
            </w:r>
          </w:p>
          <w:p w14:paraId="4DF4119F" w14:textId="05B53951" w:rsidR="004B4C14" w:rsidRPr="00FB4977" w:rsidRDefault="008C70FE" w:rsidP="004B4C14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A696B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十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4B4C14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微生物与食品安全性</w:t>
            </w:r>
          </w:p>
          <w:p w14:paraId="714D037A" w14:textId="1CBAD26F" w:rsidR="007A696B" w:rsidRPr="00FB4977" w:rsidRDefault="004B4C14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lastRenderedPageBreak/>
              <w:t>食品的微生物污染；细菌性食物中毒及预防；真菌性食物中毒及预防；病毒</w:t>
            </w:r>
            <w:proofErr w:type="gramStart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介</w:t>
            </w:r>
            <w:proofErr w:type="gramEnd"/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导的食源性感染及危害；食品安全微生物指标。</w:t>
            </w:r>
          </w:p>
          <w:p w14:paraId="074CE0C3" w14:textId="4FB1BC27" w:rsidR="00AC2AAE" w:rsidRPr="00FB4977" w:rsidRDefault="007A696B" w:rsidP="00BF1C0A">
            <w:pPr>
              <w:spacing w:beforeLines="50" w:before="156" w:afterLines="20" w:after="62" w:line="46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第三部分</w:t>
            </w:r>
            <w:r w:rsidR="00A559F4" w:rsidRPr="00FB4977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 xml:space="preserve"> </w:t>
            </w:r>
            <w:r w:rsidR="00AC2AAE" w:rsidRPr="0072510F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  <w:t>食品生物化学课程考试大纲</w:t>
            </w:r>
          </w:p>
          <w:p w14:paraId="575E7EE0" w14:textId="77777777" w:rsidR="00AC2AAE" w:rsidRPr="00FB4977" w:rsidRDefault="00AC2AAE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【考核目标与要求】</w:t>
            </w:r>
          </w:p>
          <w:p w14:paraId="76A5F2BF" w14:textId="12CAE1CE" w:rsidR="00AC2AAE" w:rsidRPr="00FB4977" w:rsidRDefault="00AC2AAE" w:rsidP="00FB4977">
            <w:pPr>
              <w:widowControl/>
              <w:spacing w:line="460" w:lineRule="exact"/>
              <w:ind w:firstLineChars="200" w:firstLine="480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主要考查</w:t>
            </w:r>
            <w:r w:rsidR="00903341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学生对食品生物化学相关基础知识与基本技能的理解掌握程度，以及运用食品生物化学知识分析问题、解决问题的能力。</w:t>
            </w:r>
          </w:p>
          <w:p w14:paraId="29EF2A5F" w14:textId="0C454F2A" w:rsidR="00AC2AAE" w:rsidRPr="0072510F" w:rsidRDefault="00AC2AAE" w:rsidP="00FB4977">
            <w:pPr>
              <w:spacing w:line="460" w:lineRule="exact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【考试范围与要求】</w:t>
            </w:r>
          </w:p>
          <w:p w14:paraId="2B575E4D" w14:textId="60BC73BA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CA740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糖类物质</w:t>
            </w:r>
          </w:p>
          <w:p w14:paraId="6AE47139" w14:textId="308758C9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proofErr w:type="gramStart"/>
            <w:r w:rsidR="0055003D"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单糖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开链结构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、环状结构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单糖的物理性质、化学性质</w:t>
            </w:r>
            <w:r w:rsidR="003C2AF2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双糖的构成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蔗糖理化性质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转化糖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麦芽糖的分子结构、空间构型、理化性质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乳糖的分子结构和理化特性、乳糖不耐症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多糖、同多糖、杂多糖的概念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淀粉分子的结构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糊化和老化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糊精的呈色反应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糖原和纤维素的结构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58D88C98" w14:textId="546120B5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二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脂类物质</w:t>
            </w:r>
          </w:p>
          <w:p w14:paraId="627C3CD6" w14:textId="0456A88B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简单脂、甘油脂类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生物膜的化学组成、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膜脂和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膜蛋白在脂双层两侧分布的不对称性、生物膜的流动性、生物膜的结构模型、物质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的穿膜运送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、物质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的膜泡运送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。</w:t>
            </w:r>
          </w:p>
          <w:p w14:paraId="5336D6AD" w14:textId="523FB7F1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三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蛋白质</w:t>
            </w:r>
          </w:p>
          <w:p w14:paraId="36A45A7D" w14:textId="06D76CB7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FC278C" w:rsidRP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蛋白质的化学组成、蛋白质的含氮量、蛋白质的基本组成单位、根据蛋白质分子的化学组成分类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简单蛋白、结合蛋白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、根据蛋白质来源分类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动物蛋白、植物蛋白和单细胞蛋白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、分子形状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球蛋白、纤维蛋白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3C2AF2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07BA447B" w14:textId="073DCBF6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FC278C" w:rsidRP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氨基酸的结构、氨基酸的分类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、氨基酸的物理性质、氨基酸的化学性质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等电点、与甲醛反应、与亚硝酸反应、</w:t>
            </w:r>
            <w:proofErr w:type="gramStart"/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茚</w:t>
            </w:r>
            <w:proofErr w:type="gramEnd"/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三酮反应、桑格反应、艾德曼反应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、肽的结构与命名、多肽的性质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FC278C"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水解、颜色反应</w:t>
            </w:r>
            <w:r w:rsid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0AC935B2" w14:textId="2DEEE860" w:rsidR="00FC278C" w:rsidRDefault="00FC278C" w:rsidP="00394434">
            <w:pPr>
              <w:spacing w:line="460" w:lineRule="exact"/>
              <w:ind w:firstLine="482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蛋白质的一级结构、二级结构</w:t>
            </w:r>
            <w:r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、三级结构、四级结构、蛋白质一级结构与功能的关系、蛋白质的变性、蛋白质的变构效应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4ABF773B" w14:textId="1EBCDAA4" w:rsidR="00AC2AAE" w:rsidRPr="0072510F" w:rsidRDefault="00394434" w:rsidP="00394434">
            <w:pPr>
              <w:spacing w:line="460" w:lineRule="exact"/>
              <w:ind w:firstLine="482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蛋白质的分子量、渗透压、透析、胶体性质、两性解离和等电点、蛋白质的电泳、蛋白质的沉淀</w:t>
            </w:r>
            <w:r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Pr="00FC278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盐析、有机溶剂沉淀、重金属盐沉淀、酸类沉淀、热凝固沉淀</w:t>
            </w:r>
            <w:r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7E0C4F7F" w14:textId="56A558C4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lastRenderedPageBreak/>
              <w:t xml:space="preserve">　　蛋白质的功能性质及其在食品加工中的应用</w:t>
            </w:r>
            <w:r w:rsidR="00D9307B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FC278C" w:rsidRPr="00FC278C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蛋白质的水化性、持水性，面团面筋、蛋白质的膨润、蛋白质的乳化性质、蛋白质的发泡性、蛋白质与风味物质结合</w:t>
            </w:r>
            <w:r w:rsidR="00D9307B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3952AD8E" w14:textId="10931205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四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核酸</w:t>
            </w:r>
          </w:p>
          <w:p w14:paraId="3BAD8056" w14:textId="1D07CBD0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核苷酸的组成</w:t>
            </w:r>
            <w:r w:rsidR="006D7734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6D7734" w:rsidRPr="006D7734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戊糖、碱基和磷酸</w:t>
            </w:r>
            <w:r w:rsidR="006D7734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、嘌呤碱、嘧啶碱、核苷酸的碱基构型与紫外吸收</w:t>
            </w:r>
            <w:r w:rsidR="006311B0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DNA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的碱基组成、一级结构、二级结构、三级结构</w:t>
            </w:r>
            <w:r w:rsidR="006D7734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6D7734" w:rsidRPr="006D7734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核小体</w:t>
            </w:r>
            <w:r w:rsidR="006D7734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DNA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的生物学功能。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RNA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的结构、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RNA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的类型、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rRNA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分类和功能、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tRNA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的结构、功能，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mRNA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的结构和功能。核酸的理化性质</w:t>
            </w:r>
            <w:r w:rsidR="007855C8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7855C8" w:rsidRPr="007855C8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溶解性质、两性解离、酸解、碱水解、分子大小、粘度、紫外吸收、沉降特性</w:t>
            </w:r>
            <w:r w:rsidR="007855C8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、核酸的凝胶电泳、核酸的变性、复性与杂交</w:t>
            </w:r>
            <w:r w:rsidR="006311B0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0A21445A" w14:textId="35ADC15B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五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酶</w:t>
            </w:r>
          </w:p>
          <w:p w14:paraId="494542C8" w14:textId="5F9497A6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酶的概念、特点、化学本质、组成</w:t>
            </w:r>
            <w:r w:rsidR="003C2AF2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单体酶、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寡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聚酶、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多酶复合体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、核酶</w:t>
            </w:r>
            <w:r w:rsidR="00CF6F6A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酶的分类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氧化还原酶、转移酶、水解酶、裂解酶、异构酶、合成酶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、酶对底物分子结构专一性、酶对底物分子立体异构专一性。酶的活性中心的作用、构成、诱导契合学说、中间产物学说、酶原激活的概念。</w:t>
            </w:r>
            <w:proofErr w:type="gramStart"/>
            <w:r w:rsidR="00AD5656" w:rsidRP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酶反应</w:t>
            </w:r>
            <w:proofErr w:type="gramEnd"/>
            <w:r w:rsidR="00AD5656" w:rsidRP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速度的测定、酶活力概念和单位、酶的比活力、米氏方程、米氏常数、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pH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、温度、酶浓度对酶促反应速度的影响、激活剂、抑制剂对酶促反应速度的影响、可逆抑制作用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竞争性抑制、非竞争性抑制、反竞争性抑制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、不可逆抑制作用。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别构酶的概念、结合部位、别构酶的活性调节、同工酶的概念</w:t>
            </w:r>
            <w:r w:rsidR="00903341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011FD424" w14:textId="3264F8B2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六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生物氧化</w:t>
            </w:r>
          </w:p>
          <w:p w14:paraId="6ADE145B" w14:textId="1F421679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生物氧化特点、生物氧化方式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脱氢、加氧、脱电子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CO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  <w:vertAlign w:val="subscript"/>
              </w:rPr>
              <w:t>2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的生成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直接脱羧、氧化脱羧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、生物氧化的酶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氧化酶、脱氢酶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。呼吸链的主要成分和其他成分的作用、线粒体内两条重要呼吸链</w:t>
            </w:r>
            <w:r w:rsidR="00903341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NADH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氧化呼吸链、琥珀酸氧化呼吸链</w:t>
            </w:r>
            <w:r w:rsidR="00903341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、线粒体外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NADH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的氧化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α-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磷酸甘油穿梭作用、苹果酸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-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天冬氨酸穿梭作用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ATP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的生成方式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="00AD5656" w:rsidRPr="00AD5656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底物水平磷酸化、氧化磷酸化、氧化磷酸化的偶联机制及影响因素</w:t>
            </w:r>
            <w:r w:rsidR="00AD5656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、生物体内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ATP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的循环过程概况、磷酸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原及其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作用。超氧负离子、自由基、超氧化歧化酶。</w:t>
            </w:r>
          </w:p>
          <w:p w14:paraId="64BFE6CF" w14:textId="4FB6295D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七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糖类代谢</w:t>
            </w:r>
          </w:p>
          <w:p w14:paraId="4E8C49B0" w14:textId="1CD1BB8F" w:rsidR="00AC2AAE" w:rsidRPr="0072510F" w:rsidRDefault="00AC2AAE" w:rsidP="00C951DD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糖类的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消化过程、降解产物、吸收过程。糖酵解反应过程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丙酮酸的无氧转变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糖酵解能量核算和生理意义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果糖、乳糖和甘露糖的分解代谢、糖酵解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lastRenderedPageBreak/>
              <w:t>的调节</w:t>
            </w:r>
            <w:r w:rsid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丙酮酸氧化脱羧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三羧酸循环反应过程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有氧</w:t>
            </w:r>
            <w:proofErr w:type="gramStart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</w:t>
            </w:r>
            <w:proofErr w:type="gramEnd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化产生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ATP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的计算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有氧</w:t>
            </w:r>
            <w:proofErr w:type="gramStart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</w:t>
            </w:r>
            <w:proofErr w:type="gramEnd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化生理意义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有氧</w:t>
            </w:r>
            <w:proofErr w:type="gramStart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</w:t>
            </w:r>
            <w:proofErr w:type="gramEnd"/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化的调节方式。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糖的无氧分解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糖的有氧</w:t>
            </w:r>
            <w:proofErr w:type="gramStart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氧</w:t>
            </w:r>
            <w:proofErr w:type="gramEnd"/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化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磷酸戊糖途径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反应过程</w:t>
            </w:r>
            <w:r w:rsid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及其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意义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乙醛酸途径的起点、终点，乙醛酸途径意义，糖醛酸途径的起始点、意义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糖异生</w:t>
            </w:r>
            <w:r w:rsid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步骤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及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调节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糖原分解代谢步骤、酶，合成代谢中葡萄糖活化形式，合成代谢的酶、糖原代谢调节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、糖原引物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淀粉、蔗糖和乳糖的合成原料、催化酶、合成途径</w:t>
            </w:r>
            <w:r w:rsidR="00AF3253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糖代谢</w:t>
            </w:r>
            <w:proofErr w:type="gramStart"/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各途径</w:t>
            </w:r>
            <w:proofErr w:type="gramEnd"/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联系的中间代谢物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。</w:t>
            </w:r>
          </w:p>
          <w:p w14:paraId="76F3BB07" w14:textId="5B7D1C40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八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脂类代谢</w:t>
            </w:r>
          </w:p>
          <w:p w14:paraId="135B9A53" w14:textId="01246B7C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食品中的脂类及其消化、吸收和转运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脂类的分解代谢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、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合成代谢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磷脂代谢和人体内胆固醇的转变</w:t>
            </w:r>
            <w:r w:rsidR="0055003D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，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脂类代谢的调节。</w:t>
            </w:r>
          </w:p>
          <w:p w14:paraId="3C3C0CF0" w14:textId="0FD164A7" w:rsidR="00AC2AAE" w:rsidRPr="0072510F" w:rsidRDefault="00AC2AAE" w:rsidP="00FB4977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（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九</w:t>
            </w:r>
            <w:r w:rsidR="008C70FE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）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氨基酸和核苷酸的代谢</w:t>
            </w:r>
          </w:p>
          <w:p w14:paraId="4156304B" w14:textId="10FD6CF4" w:rsidR="007A696B" w:rsidRPr="00C951DD" w:rsidRDefault="00AC2AAE" w:rsidP="00394434">
            <w:pPr>
              <w:widowControl/>
              <w:spacing w:line="460" w:lineRule="exact"/>
              <w:textAlignment w:val="baseline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　　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氧化脱氨基、转氨基作用、联合脱氨基作用、脱羧作用、氨的转运、氨的代谢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α</w:t>
            </w:r>
            <w:r w:rsidR="00092BAC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-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酮酸的转化</w:t>
            </w:r>
            <w:r w:rsid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（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与三羧酸循环的联系</w:t>
            </w:r>
            <w:r w:rsid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）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、生酮氨基酸、生糖氨基酸、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CO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  <w:vertAlign w:val="subscript"/>
              </w:rPr>
              <w:t>2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的代谢、个别氨基酸的代谢。</w:t>
            </w:r>
            <w:r w:rsidR="00C951DD" w:rsidRPr="00C951DD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氨基酸合成的共同特点、氨基酸合成的起始物分族。核酸的降解、核酸酶、限制性内切酶、核苷酸的降解、嘌呤碱的分解、嘧啶碱的分解。嘌呤核糖核苷酸的合成</w:t>
            </w:r>
            <w:r w:rsidR="00C951DD" w:rsidRPr="00C951DD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、嘧啶核糖核苷酸的合成、脱氧核糖核苷酸的合成、核苷二磷酸和核苷三磷酸的合成</w:t>
            </w:r>
            <w:r w:rsidRPr="0072510F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 xml:space="preserve">。　　</w:t>
            </w:r>
          </w:p>
        </w:tc>
      </w:tr>
      <w:tr w:rsidR="007A696B" w:rsidRPr="00903341" w14:paraId="7C40C8DA" w14:textId="77777777" w:rsidTr="00C05D61">
        <w:tc>
          <w:tcPr>
            <w:tcW w:w="8296" w:type="dxa"/>
            <w:gridSpan w:val="4"/>
          </w:tcPr>
          <w:p w14:paraId="66203291" w14:textId="3DF5C7AB" w:rsidR="007A696B" w:rsidRPr="00753776" w:rsidRDefault="007A696B" w:rsidP="00337083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二、</w:t>
            </w:r>
            <w:r w:rsidR="00903341" w:rsidRPr="00753776"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  <w:t>考试形式与</w:t>
            </w: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试卷结构</w:t>
            </w:r>
          </w:p>
        </w:tc>
      </w:tr>
      <w:tr w:rsidR="007A696B" w:rsidRPr="00903341" w14:paraId="044B3E80" w14:textId="77777777" w:rsidTr="00F702FD">
        <w:tc>
          <w:tcPr>
            <w:tcW w:w="8296" w:type="dxa"/>
            <w:gridSpan w:val="4"/>
          </w:tcPr>
          <w:p w14:paraId="0D7CB57D" w14:textId="5731A575" w:rsidR="007A696B" w:rsidRPr="00903341" w:rsidRDefault="00903341" w:rsidP="00FB4977">
            <w:pPr>
              <w:spacing w:line="460" w:lineRule="exact"/>
              <w:ind w:firstLineChars="200" w:firstLine="480"/>
              <w:rPr>
                <w:rFonts w:ascii="Times New Roman" w:eastAsia="仿宋" w:hAnsi="Times New Roman" w:cs="Times New Roman"/>
                <w:color w:val="342828"/>
                <w:kern w:val="0"/>
                <w:sz w:val="27"/>
                <w:szCs w:val="27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考试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基本内容</w:t>
            </w:r>
            <w:r w:rsidR="00D509B0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分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为食品质量与安全专业导论、食品微生物和食品生物化学三大部分。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试卷满分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2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00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分，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其中食品质量与安全专业导论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4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0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分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、食品微生物学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80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分、食品生物化学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80</w:t>
            </w:r>
            <w:r w:rsidR="00EB29DE"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分。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考试采用闭卷、笔试形式。考试题型从以下类型中选择：单项选择题、多项选择题、判断题、填空题、名词解释题、简答题、</w:t>
            </w:r>
            <w:r w:rsidR="00DE0CF1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计算题、分析题、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论述题。</w:t>
            </w:r>
          </w:p>
        </w:tc>
      </w:tr>
      <w:tr w:rsidR="007A696B" w:rsidRPr="00903341" w14:paraId="7810B593" w14:textId="77777777" w:rsidTr="00C76BA9">
        <w:tc>
          <w:tcPr>
            <w:tcW w:w="8296" w:type="dxa"/>
            <w:gridSpan w:val="4"/>
          </w:tcPr>
          <w:p w14:paraId="53C2ED26" w14:textId="64BDD69A" w:rsidR="007A696B" w:rsidRPr="00753776" w:rsidRDefault="007A696B" w:rsidP="00337083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7"/>
                <w:szCs w:val="27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三、参考书目</w:t>
            </w:r>
          </w:p>
        </w:tc>
      </w:tr>
      <w:tr w:rsidR="007A696B" w:rsidRPr="00903341" w14:paraId="19CE32C7" w14:textId="77777777" w:rsidTr="00FB728C">
        <w:tc>
          <w:tcPr>
            <w:tcW w:w="2074" w:type="dxa"/>
            <w:vAlign w:val="center"/>
          </w:tcPr>
          <w:p w14:paraId="22C4EBB9" w14:textId="439C004E" w:rsidR="007A696B" w:rsidRPr="00462C09" w:rsidRDefault="007A696B" w:rsidP="00462C09">
            <w:pPr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作者</w:t>
            </w:r>
          </w:p>
        </w:tc>
        <w:tc>
          <w:tcPr>
            <w:tcW w:w="2174" w:type="dxa"/>
            <w:vAlign w:val="center"/>
          </w:tcPr>
          <w:p w14:paraId="7793E528" w14:textId="52C48A79" w:rsidR="007A696B" w:rsidRPr="00462C09" w:rsidRDefault="007A696B" w:rsidP="00462C09">
            <w:pPr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书名</w:t>
            </w:r>
          </w:p>
        </w:tc>
        <w:tc>
          <w:tcPr>
            <w:tcW w:w="2410" w:type="dxa"/>
            <w:vAlign w:val="center"/>
          </w:tcPr>
          <w:p w14:paraId="7FCB1E46" w14:textId="59013180" w:rsidR="007A696B" w:rsidRPr="00462C09" w:rsidRDefault="007A696B" w:rsidP="00462C09">
            <w:pPr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638" w:type="dxa"/>
            <w:vAlign w:val="center"/>
          </w:tcPr>
          <w:p w14:paraId="2E554F41" w14:textId="1DD4EAC5" w:rsidR="007A696B" w:rsidRPr="00462C09" w:rsidRDefault="007A696B" w:rsidP="00462C09">
            <w:pPr>
              <w:spacing w:beforeLines="20" w:before="62" w:afterLines="20" w:after="62"/>
              <w:jc w:val="center"/>
              <w:rPr>
                <w:rFonts w:ascii="Times New Roman" w:eastAsia="仿宋" w:hAnsi="Times New Roman" w:cs="Times New Roman"/>
                <w:b/>
                <w:bCs/>
                <w:color w:val="342828"/>
                <w:kern w:val="0"/>
                <w:sz w:val="24"/>
                <w:szCs w:val="24"/>
              </w:rPr>
            </w:pPr>
            <w:r w:rsidRPr="00677333">
              <w:rPr>
                <w:rFonts w:ascii="Times New Roman" w:eastAsia="仿宋" w:hAnsi="Times New Roman" w:cs="Times New Roman"/>
                <w:b/>
                <w:bCs/>
                <w:color w:val="333333"/>
                <w:kern w:val="0"/>
                <w:sz w:val="24"/>
                <w:szCs w:val="24"/>
              </w:rPr>
              <w:t>版次</w:t>
            </w:r>
          </w:p>
        </w:tc>
      </w:tr>
      <w:tr w:rsidR="007A696B" w:rsidRPr="00903341" w14:paraId="4C6A88B3" w14:textId="77777777" w:rsidTr="00FB728C">
        <w:tc>
          <w:tcPr>
            <w:tcW w:w="2074" w:type="dxa"/>
          </w:tcPr>
          <w:p w14:paraId="007A5A27" w14:textId="7744A76A" w:rsidR="007A696B" w:rsidRPr="00FB4977" w:rsidRDefault="00FB728C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何国庆</w:t>
            </w:r>
            <w:r w:rsidR="00EB29DE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贾英民</w:t>
            </w:r>
          </w:p>
        </w:tc>
        <w:tc>
          <w:tcPr>
            <w:tcW w:w="2174" w:type="dxa"/>
          </w:tcPr>
          <w:p w14:paraId="70E127C3" w14:textId="71838F07" w:rsidR="007A696B" w:rsidRPr="00FB4977" w:rsidRDefault="00EB29DE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2410" w:type="dxa"/>
          </w:tcPr>
          <w:p w14:paraId="08BF5A62" w14:textId="567AE768" w:rsidR="007A696B" w:rsidRPr="00FB4977" w:rsidRDefault="00FB728C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中国农业</w:t>
            </w:r>
            <w:r w:rsidR="00EB29DE"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638" w:type="dxa"/>
          </w:tcPr>
          <w:p w14:paraId="2FFB07E4" w14:textId="5463C703" w:rsidR="007A696B" w:rsidRPr="00FB4977" w:rsidRDefault="00D509B0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3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版</w:t>
            </w:r>
          </w:p>
        </w:tc>
      </w:tr>
      <w:tr w:rsidR="00EB29DE" w:rsidRPr="00903341" w14:paraId="6A3C5E94" w14:textId="77777777" w:rsidTr="00FB728C">
        <w:tc>
          <w:tcPr>
            <w:tcW w:w="2074" w:type="dxa"/>
          </w:tcPr>
          <w:p w14:paraId="22C1E078" w14:textId="4499DB82" w:rsidR="00EB29DE" w:rsidRPr="00FB4977" w:rsidRDefault="00EB29DE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张丽萍、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杨建雄</w:t>
            </w:r>
          </w:p>
        </w:tc>
        <w:tc>
          <w:tcPr>
            <w:tcW w:w="2174" w:type="dxa"/>
          </w:tcPr>
          <w:p w14:paraId="02CD1538" w14:textId="3E8C7C78" w:rsidR="00EB29DE" w:rsidRPr="00FB4977" w:rsidRDefault="00EB29DE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生物化学简明教程</w:t>
            </w:r>
          </w:p>
        </w:tc>
        <w:tc>
          <w:tcPr>
            <w:tcW w:w="2410" w:type="dxa"/>
          </w:tcPr>
          <w:p w14:paraId="10B3AC9C" w14:textId="2EE21A36" w:rsidR="00EB29DE" w:rsidRPr="00FB4977" w:rsidRDefault="00EB29DE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高等教育</w:t>
            </w:r>
            <w:r w:rsidRPr="00FB4977"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638" w:type="dxa"/>
          </w:tcPr>
          <w:p w14:paraId="57F1970B" w14:textId="4C81234A" w:rsidR="00EB29DE" w:rsidRPr="00FB4977" w:rsidRDefault="00EB29DE" w:rsidP="00FB4977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color w:val="342828"/>
                <w:kern w:val="0"/>
                <w:sz w:val="24"/>
                <w:szCs w:val="24"/>
              </w:rPr>
            </w:pP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第</w:t>
            </w:r>
            <w:r w:rsidR="00D509B0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5</w:t>
            </w:r>
            <w:r w:rsidRPr="00FB4977">
              <w:rPr>
                <w:rFonts w:ascii="Times New Roman" w:eastAsia="仿宋" w:hAnsi="Times New Roman" w:cs="Times New Roman" w:hint="eastAsia"/>
                <w:color w:val="342828"/>
                <w:kern w:val="0"/>
                <w:sz w:val="24"/>
                <w:szCs w:val="24"/>
              </w:rPr>
              <w:t>版</w:t>
            </w:r>
          </w:p>
        </w:tc>
      </w:tr>
    </w:tbl>
    <w:p w14:paraId="41D409ED" w14:textId="7E8D9BF7" w:rsidR="00FB4977" w:rsidRDefault="00FB4977" w:rsidP="00FB4977">
      <w:pPr>
        <w:spacing w:line="460" w:lineRule="exact"/>
        <w:rPr>
          <w:rFonts w:ascii="Times New Roman" w:eastAsia="仿宋" w:hAnsi="Times New Roman" w:cs="Times New Roman"/>
          <w:color w:val="342828"/>
          <w:kern w:val="0"/>
          <w:sz w:val="27"/>
          <w:szCs w:val="27"/>
        </w:rPr>
      </w:pPr>
    </w:p>
    <w:sectPr w:rsidR="00FB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DF154" w14:textId="77777777" w:rsidR="00021FAE" w:rsidRDefault="00021FAE" w:rsidP="0093049E">
      <w:r>
        <w:separator/>
      </w:r>
    </w:p>
  </w:endnote>
  <w:endnote w:type="continuationSeparator" w:id="0">
    <w:p w14:paraId="613597B9" w14:textId="77777777" w:rsidR="00021FAE" w:rsidRDefault="00021FAE" w:rsidP="009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F748" w14:textId="77777777" w:rsidR="00021FAE" w:rsidRDefault="00021FAE" w:rsidP="0093049E">
      <w:r>
        <w:separator/>
      </w:r>
    </w:p>
  </w:footnote>
  <w:footnote w:type="continuationSeparator" w:id="0">
    <w:p w14:paraId="5E3FFF95" w14:textId="77777777" w:rsidR="00021FAE" w:rsidRDefault="00021FAE" w:rsidP="0093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BE5"/>
    <w:multiLevelType w:val="multilevel"/>
    <w:tmpl w:val="781A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24C55"/>
    <w:multiLevelType w:val="multilevel"/>
    <w:tmpl w:val="2E76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0"/>
    <w:rsid w:val="00021FAE"/>
    <w:rsid w:val="0003670C"/>
    <w:rsid w:val="0005390C"/>
    <w:rsid w:val="00092BAC"/>
    <w:rsid w:val="000D4319"/>
    <w:rsid w:val="0010536D"/>
    <w:rsid w:val="0013532A"/>
    <w:rsid w:val="00174785"/>
    <w:rsid w:val="00181E40"/>
    <w:rsid w:val="00182435"/>
    <w:rsid w:val="001931A7"/>
    <w:rsid w:val="001A69EC"/>
    <w:rsid w:val="001E3046"/>
    <w:rsid w:val="00247953"/>
    <w:rsid w:val="002E095C"/>
    <w:rsid w:val="002F27BE"/>
    <w:rsid w:val="00337083"/>
    <w:rsid w:val="00394434"/>
    <w:rsid w:val="003C2AF2"/>
    <w:rsid w:val="004300D4"/>
    <w:rsid w:val="00434627"/>
    <w:rsid w:val="00462C09"/>
    <w:rsid w:val="004B4C14"/>
    <w:rsid w:val="004E21F0"/>
    <w:rsid w:val="00513C1D"/>
    <w:rsid w:val="0053450D"/>
    <w:rsid w:val="0055003D"/>
    <w:rsid w:val="00574DE0"/>
    <w:rsid w:val="005C2926"/>
    <w:rsid w:val="006275ED"/>
    <w:rsid w:val="006311B0"/>
    <w:rsid w:val="00671DBD"/>
    <w:rsid w:val="006D7734"/>
    <w:rsid w:val="00753776"/>
    <w:rsid w:val="007855C8"/>
    <w:rsid w:val="007A696B"/>
    <w:rsid w:val="008B58A7"/>
    <w:rsid w:val="008C70FE"/>
    <w:rsid w:val="00903341"/>
    <w:rsid w:val="0092539A"/>
    <w:rsid w:val="0093049E"/>
    <w:rsid w:val="00A559F4"/>
    <w:rsid w:val="00AB1E31"/>
    <w:rsid w:val="00AC2AAE"/>
    <w:rsid w:val="00AD5656"/>
    <w:rsid w:val="00AE71AC"/>
    <w:rsid w:val="00AF3253"/>
    <w:rsid w:val="00BA3799"/>
    <w:rsid w:val="00BF1C0A"/>
    <w:rsid w:val="00C4683D"/>
    <w:rsid w:val="00C71CEB"/>
    <w:rsid w:val="00C951DD"/>
    <w:rsid w:val="00CA740C"/>
    <w:rsid w:val="00CE6EA9"/>
    <w:rsid w:val="00CF6F6A"/>
    <w:rsid w:val="00D509B0"/>
    <w:rsid w:val="00D8734D"/>
    <w:rsid w:val="00D9307B"/>
    <w:rsid w:val="00DE0CF1"/>
    <w:rsid w:val="00E92F8A"/>
    <w:rsid w:val="00EB29DE"/>
    <w:rsid w:val="00EC4B35"/>
    <w:rsid w:val="00FB4977"/>
    <w:rsid w:val="00FB728C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BEF68"/>
  <w15:chartTrackingRefBased/>
  <w15:docId w15:val="{7C483F83-AD0A-4CC9-9CC8-9F8CB943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49E"/>
    <w:rPr>
      <w:sz w:val="18"/>
      <w:szCs w:val="18"/>
    </w:rPr>
  </w:style>
  <w:style w:type="table" w:styleId="a7">
    <w:name w:val="Table Grid"/>
    <w:basedOn w:val="a1"/>
    <w:uiPriority w:val="39"/>
    <w:rsid w:val="007A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王丽莉</dc:creator>
  <cp:keywords/>
  <dc:description/>
  <cp:lastModifiedBy>WangLL</cp:lastModifiedBy>
  <cp:revision>5</cp:revision>
  <dcterms:created xsi:type="dcterms:W3CDTF">2021-02-10T09:10:00Z</dcterms:created>
  <dcterms:modified xsi:type="dcterms:W3CDTF">2021-02-10T10:00:00Z</dcterms:modified>
</cp:coreProperties>
</file>