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新宋体" w:hAnsi="新宋体" w:eastAsia="新宋体" w:cs="新宋体"/>
          <w:b/>
          <w:bCs/>
          <w:color w:val="auto"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</w:rPr>
        <w:t>蚌埠医学院2020年专升本考试大纲</w:t>
      </w:r>
    </w:p>
    <w:p>
      <w:pPr>
        <w:widowControl/>
        <w:spacing w:line="420" w:lineRule="atLeast"/>
        <w:jc w:val="center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CN"/>
        </w:rPr>
        <w:t>《</w:t>
      </w: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</w:rPr>
        <w:t>药理学</w:t>
      </w:r>
      <w:r>
        <w:rPr>
          <w:rFonts w:hint="eastAsia" w:ascii="新宋体" w:hAnsi="新宋体" w:eastAsia="新宋体" w:cs="新宋体"/>
          <w:b/>
          <w:bCs/>
          <w:color w:val="auto"/>
          <w:sz w:val="28"/>
          <w:szCs w:val="28"/>
          <w:lang w:eastAsia="zh-CN"/>
        </w:rPr>
        <w:t>》</w:t>
      </w:r>
    </w:p>
    <w:p>
      <w:pPr>
        <w:widowControl/>
        <w:spacing w:before="100" w:beforeAutospacing="1" w:after="100" w:afterAutospacing="1" w:line="420" w:lineRule="atLeast"/>
        <w:jc w:val="left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　　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一、总纲</w:t>
      </w:r>
    </w:p>
    <w:p>
      <w:pPr>
        <w:widowControl/>
        <w:spacing w:before="100" w:beforeAutospacing="1" w:after="100" w:afterAutospacing="1" w:line="420" w:lineRule="atLeast"/>
        <w:jc w:val="left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　　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药理学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是为医学高等院校招收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药学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类专业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专升本学生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而设置的，具有选拔性质的全国统一入学考试科目。目的是科学、公平、有效地测试考生是否具有备继续攻读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药学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专业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学士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学位所需要的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药理学知识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。评价的标准是高等医学院校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药学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专业优秀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专科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毕业生能达到的及格或及格以上水平，以利于各高校择优选拔，确保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药学专升本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的招生质量。</w:t>
      </w:r>
    </w:p>
    <w:p>
      <w:pPr>
        <w:widowControl/>
        <w:spacing w:before="100" w:beforeAutospacing="1" w:after="100" w:afterAutospacing="1" w:line="420" w:lineRule="atLeast"/>
        <w:ind w:firstLine="420"/>
        <w:jc w:val="left"/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药理学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考试范围包括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总论、传出神经药理学、中枢神经药理学、作用于内脏器官的药理学（效应器药理学）及激素及化疗药物的药理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学。重点考查基本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药理学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理论知识，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并考查学生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运用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所学知识分析和解决实际问题的能力</w:t>
      </w:r>
    </w:p>
    <w:p>
      <w:pPr>
        <w:widowControl/>
        <w:spacing w:before="100" w:beforeAutospacing="1" w:after="100" w:afterAutospacing="1" w:line="420" w:lineRule="atLeast"/>
        <w:ind w:firstLine="420"/>
        <w:jc w:val="left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二、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val="en-US" w:eastAsia="zh-CN"/>
        </w:rPr>
        <w:t>考试形式及参考教材</w:t>
      </w:r>
    </w:p>
    <w:p>
      <w:pPr>
        <w:widowControl/>
        <w:spacing w:before="100" w:beforeAutospacing="1" w:after="100" w:afterAutospacing="1" w:line="420" w:lineRule="atLeast"/>
        <w:ind w:firstLine="560"/>
        <w:jc w:val="left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val="en-US" w:eastAsia="zh-CN"/>
        </w:rPr>
        <w:t>1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、</w:t>
      </w:r>
      <w:r>
        <w:rPr>
          <w:rFonts w:hint="eastAsia" w:ascii="新宋体" w:hAnsi="新宋体" w:eastAsia="新宋体" w:cs="新宋体"/>
          <w:color w:val="auto"/>
          <w:sz w:val="28"/>
          <w:szCs w:val="28"/>
        </w:rPr>
        <w:t>考试形式：闭卷、笔试。</w:t>
      </w:r>
    </w:p>
    <w:p>
      <w:pPr>
        <w:widowControl/>
        <w:spacing w:before="100" w:beforeAutospacing="1" w:after="100" w:afterAutospacing="1" w:line="420" w:lineRule="atLeast"/>
        <w:ind w:firstLine="560"/>
        <w:jc w:val="left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val="en-US" w:eastAsia="zh-CN"/>
        </w:rPr>
        <w:t>2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试卷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CN"/>
        </w:rPr>
        <w:t>分值：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val="en-US" w:eastAsia="zh-CN"/>
        </w:rPr>
        <w:t>150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分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　　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、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CN"/>
        </w:rPr>
        <w:t>考试题型</w:t>
      </w:r>
      <w:r>
        <w:rPr>
          <w:rFonts w:hint="eastAsia" w:ascii="新宋体" w:hAnsi="新宋体" w:eastAsia="新宋体" w:cs="新宋体"/>
          <w:color w:val="auto"/>
          <w:sz w:val="28"/>
          <w:szCs w:val="28"/>
        </w:rPr>
        <w:t>：</w:t>
      </w:r>
      <w:r>
        <w:rPr>
          <w:rFonts w:hint="eastAsia" w:ascii="新宋体" w:hAnsi="新宋体" w:eastAsia="新宋体" w:cs="新宋体"/>
          <w:color w:val="auto"/>
          <w:sz w:val="28"/>
          <w:szCs w:val="28"/>
          <w:lang w:eastAsia="zh-CN"/>
        </w:rPr>
        <w:t>单选题</w:t>
      </w:r>
    </w:p>
    <w:p>
      <w:pPr>
        <w:widowControl/>
        <w:spacing w:before="100" w:beforeAutospacing="1" w:after="100" w:afterAutospacing="1" w:line="420" w:lineRule="atLeast"/>
        <w:ind w:firstLine="560" w:firstLineChars="200"/>
        <w:jc w:val="left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试卷内容结构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CN"/>
        </w:rPr>
        <w:t>：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药理学总论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1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5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%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、传出神经药理学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1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5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%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、中枢神经药理学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1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5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%，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效应器药理学25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%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、激素及化疗药理学30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%</w:t>
      </w:r>
    </w:p>
    <w:p>
      <w:pPr>
        <w:widowControl/>
        <w:spacing w:before="100" w:beforeAutospacing="1" w:after="100" w:afterAutospacing="1" w:line="420" w:lineRule="atLeast"/>
        <w:jc w:val="left"/>
        <w:rPr>
          <w:rFonts w:hint="default" w:ascii="新宋体" w:hAnsi="新宋体" w:eastAsia="宋体" w:cs="新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　　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、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CN"/>
        </w:rPr>
        <w:t>参考教材：《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药理学》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CN"/>
        </w:rPr>
        <w:t>（第三版），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罗跃娥主编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CN"/>
        </w:rPr>
        <w:t>，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人民卫生出版社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CN"/>
        </w:rPr>
        <w:t>，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val="en-US" w:eastAsia="zh-CN"/>
        </w:rPr>
        <w:t>2018</w:t>
      </w:r>
    </w:p>
    <w:p>
      <w:pPr>
        <w:widowControl/>
        <w:spacing w:before="100" w:beforeAutospacing="1" w:after="100" w:afterAutospacing="1" w:line="420" w:lineRule="atLeast"/>
        <w:jc w:val="left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　　</w:t>
      </w:r>
    </w:p>
    <w:p>
      <w:pPr>
        <w:widowControl/>
        <w:spacing w:before="100" w:beforeAutospacing="1" w:after="100" w:afterAutospacing="1" w:line="420" w:lineRule="atLeast"/>
        <w:jc w:val="left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　　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三、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考查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范围</w:t>
      </w:r>
      <w:r>
        <w:rPr>
          <w:rFonts w:hint="eastAsia" w:ascii="新宋体" w:hAnsi="新宋体" w:eastAsia="新宋体" w:cs="新宋体"/>
          <w:b/>
          <w:bCs/>
          <w:sz w:val="28"/>
          <w:szCs w:val="28"/>
        </w:rPr>
        <w:t>与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要求</w:t>
      </w:r>
    </w:p>
    <w:p>
      <w:pPr>
        <w:widowControl/>
        <w:spacing w:line="360" w:lineRule="auto"/>
        <w:jc w:val="left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　　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 xml:space="preserve"> 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(一) 药理学总论—绪言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药物及药理学的概念。药理学研究的主要内容：药动学和药效学。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 xml:space="preserve">   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 xml:space="preserve"> 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（二） 药物代</w:t>
      </w:r>
      <w:bookmarkStart w:id="0" w:name="_GoBack"/>
      <w:bookmarkEnd w:id="0"/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谢动力学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药物的体内过程  吸收：吸收方式：口服、吸入、局部用药、舌下给药、注射给药等；影响吸收的因素：药物理化性质及制剂特点、给药途径、药物解离度和体液pH、首关消除等。分布：影响分布的因素：血浆蛋白结合率、器官血流量、组织细胞结合、药物解离度和体液pH、体内屏障。代谢：代谢步骤Ⅰ(氧化、还原、水解)及Ⅱ（结合）；药物代谢酶：肝药酶及肝药酶诱导与抑制。排泄：肾脏排泄、胆汁排泄等。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药动学的定量规律  体内药物的时量关系：时-量曲线、时-效曲线。药动学重要参数：生物利用度和消除半衰期。药物消除动力学：一级消除动力学和零级消除动力学及其特点。连续多次给药的稳态血药浓度；药物剂量的设计和优化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 xml:space="preserve">    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（三） 药物效应动力学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药物基本作用  药物作用与药理效应。兴奋、抑制、选择性及特异性概念。治疗效果：对因治疗和对症治疗。药物不良反应：副作用、毒性作用、后遗效应、停药反应、变态效应及特异质反应。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药物剂量与效应关系  量反应量效曲线：效价强度及效能概念；质反应量效曲线：半数致死量、半数有效量、治疗指数；量效曲线意义：评价药效及药物安全性。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受体与药物的相互作用：亲和力和内在活性概念。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作用于受体的药物分类  激动剂：完全激动剂、部分激动剂；拮抗剂：竞争性拮抗剂、非竞争性拮抗剂。受体调节：受体脱敏与增敏、上调与下调。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 xml:space="preserve">    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（四） 影响药物效应的因素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药物因素  药物制剂和给药途径；药物相互作用。机体因素  年龄、性别、遗传因素、特异质反应、疾病状态、心理因素--安慰剂效应。长期用药引起的机体反应性变化：耐受性和耐药性；依赖性：精神依赖(习惯性)，躯体依赖 (成瘾性)。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</w:pPr>
    </w:p>
    <w:p>
      <w:pPr>
        <w:spacing w:line="360" w:lineRule="auto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 xml:space="preserve">    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五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 传出神经系统药理概论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传出神经系统分类。乙酰胆碱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及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去甲肾上腺素的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消除方式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。传出神经系统受体：胆碱受体分类、分布及兴奋时生理效应；肾上腺素受体分类、分布及兴奋时的生理效应。传出神经系统的生理功能。传出神经系统药物基本作用及分类。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（六）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拟胆碱药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胆碱受体激动药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 xml:space="preserve">  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毛果芸香碱的作用：眼：缩瞳、降低眼内压和调节痉挛；腺体：汗腺、唾液腺分泌↑。临床应用：青光眼、虹膜睫状体炎、解救阿托品中毒。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抗胆碱酯酶药和胆碱酯酶复活药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 xml:space="preserve">  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易逆性抗胆碱酯酶药：新斯的明的药理作用、作用机制、临床应用和不良反应，禁忌症；毒扁豆碱作用特点和应用。难逆性抗胆碱酯酶药：有机磷酸酯类中毒机制、中毒症状及急性中毒的解救。胆碱酯酶复活药碘解磷定、氯解磷定作用及机制。</w:t>
      </w:r>
    </w:p>
    <w:p>
      <w:pPr>
        <w:spacing w:line="360" w:lineRule="auto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（七）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胆碱受体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拮抗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M胆碱受体阻断药  阿托品的作用机制：阻断M-R；大剂量阻断NN-R。 药理作用：腺体：抑制腺体分泌；眼：扩瞳、升高眼内压、调节麻痹；平滑肌：松弛平滑肌；心血管：HR↑，血管扩张；CNS：先兴奋后抑制。临床应用：缓解内脏绞痛；麻醉前给药，盗汗，流涎；虹膜睫状体炎，扩瞳检查眼底，验光配眼镜；缓慢型心律失常；抗休克；解救有机磷中毒。禁忌症：青光眼、前列腺肥大等。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N胆碱受体阻断药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 xml:space="preserve">  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骨骼肌松弛药分类：除极化型、非除极化型。除极化型肌松药：琥珀胆碱作用机制、作用特点、临床应用、不良反应及应用注意。非除极化型肌松药：筒箭毒碱作用机制、作用特点及临床应用。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 xml:space="preserve">   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 xml:space="preserve"> 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八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）肾上腺素受体激动药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肾上腺素受体激动药的分类及代表药物。α肾上腺素受体激动药：去甲肾上腺素的药理作用、临床应用、不良反应及防治；间羟胺、去氧肾上腺素、甲氧明作用特点及临床应用。α、β肾上腺素受体激动药：肾上腺素的药理作用、临床应用、不良反应及禁忌症；多巴胺药理作用、临床应用；异丙肾上腺素药理作用、临床应用及不良反应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</w:pP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 xml:space="preserve"> 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 xml:space="preserve">   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九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 肾上腺素受体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拮抗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α肾上腺素受体阻断药非选择性α受体阻断药：酚妥拉明药理作用、临床应用及不良反应。β肾上腺素受体阻断药普萘洛尔药理作用、临床应用、不良反应及禁忌症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（十）镇静催眠药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镇静催眠药的概念、分类。苯二氮卓类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：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地西泮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体内过程、药理作用、作用机制、临床应用及不良反应；巴比妥类的药理作用、临床应用及不良反应。水合氯醛作用特点及应用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一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）抗癫痫药和抗惊厥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苯妥英钠：体内过程、药理作用、作用机制、临床应用、不良反应及；药物的相互作用。卡马西平、苯巴比妥、乙琥胺、丙戊酸钠、地西泮抗癫痫作用特点和应用。抗癫痫药应用注意事项。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抗惊厥药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：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硫酸镁的药理作用、临床应用及不良反应。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二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）治疗中枢神经系统退性疾病药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抗帕金森病药的分类。左旋多巴药动学特点及联合用药、药理作用、临床应用及不良反应。卡比多巴的作用特点及临床应用。苯海索作用特点、临床应用及不良反应。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三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）抗精神失常药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抗精神失常药的分类。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氯丙嗪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体内过程、药理作用及机制、临床应用、不良反应、药物相互作用及禁忌症。碳酸锂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药理作用、临床应用及不良反应。米帕明(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丙咪嗪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)的药理作用、临床应用、不良反应。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四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）镇痛药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镇痛药的分类。吗啡的体内过程、药理作用及作用机制、临床应用、不良反应及禁忌证。可待因的作用特点及临床应用。哌替啶的药理作用、临床应用、不良反应及禁忌证。阿片受体拮抗剂纳洛酮药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理作用特点及临床应用。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五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）解热镇痛抗炎药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解热镇痛抗炎药共同药理作用。阿司匹林的药理作用、临床用途、不良反应及禁忌征、药物的相互作用。对乙酰氨基酚药理作用特点、临床应用、不良反应及应用注意。保泰松的药理作用特点及临床应用、不良反应及药物相互作用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六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）抗高血压药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抗高血压药物分类。利尿药降压机制；氢氯噻嗪、呋塞米降压特点及临床应用。钙通道阻滞药降压机制；硝苯地平药理作用、临床应用；尼群地平、氨氯地平等作用特点及应用。β受体阻断药普萘洛尔降压机制、降压特点及临床应用。ACE抑制药卡托普利降压机制、降压特点及临床应用。AT1受体阻断剂氯沙坦降压机制、降压特点及临床应用。中枢性降压药可乐定、血管平滑肌扩张药硝普钠、α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vertAlign w:val="subscript"/>
          <w:lang w:eastAsia="zh-Hans"/>
        </w:rPr>
        <w:t>1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-R阻断药等哌唑嗪的降压机制及特点、临床应用及不良反应。新型降压药的作用特点。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抗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高血压药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合理应用原则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十七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）抗心绞痛药与抗动脉粥样硬化药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抗心绞痛药物基本作用及分类。硝酸甘油体内过程、药理作用及机制、临床用途、不良反应及注意事项。普萘洛尔抗心绞痛作用、临床应用及禁忌证。硝苯地平抗心绞痛作用及机制、临床应用。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十八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）抗心律失常药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抗心律失常药的基本作用机制及分类。奎尼丁、普鲁卡因胺、利多卡因(lidocaine)、苯妥英钠、普萘洛尔、胺碘酮、维拉帕米的药理作用、临床应用及不良反应。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十九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抗慢性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心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功能不全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药物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抗慢性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心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功能不全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药物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分类。肾素-血管紧张素-醛固酮系统抑制药：ACE抑制药治疗CHF的作用机制及临床应用；AT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vertAlign w:val="subscript"/>
          <w:lang w:eastAsia="zh-Hans"/>
        </w:rPr>
        <w:t>1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受体阻断剂作用机制、作用特点及临床应用；抗醛固酮药的作用特点。利尿药治疗CHF的作用机制及临床选药。β受体阻断药治疗CHF的作用机制、临床应用及注意事项。强心苷类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：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地高辛、洋地黄毒苷、西地兰、毒毛花苷K的药动学特点；药理作用及机制、临床应用、不良反应及防治；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（二十）利尿药及脱水药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利尿药的分类；高效利尿药呋塞米的体内过程、药理作用、临床应用及不良反应。中效利尿药氢氯噻嗪的体内过程、药理作用及机制、临床应用及不良反应。保利尿药螺内酯药理作用及机制、临床应用及不良反应。氨苯蝶啶、阿米洛利药理作用及机制、临床应用及不良反应。碳酸酐酶抑制药乙酰唑胺的药理作用及机制、临床应用途不良反应。渗透性利尿药甘露醇的药理作用、临床应用及不良反应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二十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一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抗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组胺药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抗组胺药的药理作用及临床应用。H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vertAlign w:val="subscript"/>
          <w:lang w:eastAsia="zh-Hans"/>
        </w:rPr>
        <w:t>1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受体阻断药分类、药理作用及机制、临床应用及不良反应。H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vertAlign w:val="subscript"/>
          <w:lang w:eastAsia="zh-Hans"/>
        </w:rPr>
        <w:t>2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受体阻断药西米替丁、雷尼替丁等药理作用及临床应用。</w:t>
      </w:r>
    </w:p>
    <w:p>
      <w:pPr>
        <w:spacing w:line="360" w:lineRule="auto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二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二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）作用于呼吸系统的药物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平喘药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分类；糖皮质激素类药理作用及机制、临床应用及不良反应。肾上腺素受体激动药肾上腺素、沙丁胺醇等药理作用及机制、临床应用及不良反应。氨茶碱药理作用及机制、临床应用及不良反应。M受体阻断药异丙托溴铵、肥大细胞膜稳定药色甘酸钠等作用特点及临床应用。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镇咳药的分类；可待因、右美沙芬、喷托维林作用特点及应用。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 xml:space="preserve">祛痰药的分类；氯化铵、乙酰半胱氨酸、溴己新作用特点及应用。 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281" w:firstLineChars="1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（二十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三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）作用于消化系统的药物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抗消化性溃疡药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分类；抗酸药氢氧化铝等作用特点及应用；H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vertAlign w:val="subscript"/>
          <w:lang w:eastAsia="zh-Hans"/>
        </w:rPr>
        <w:t>2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受体阻断药西米替丁等药理作用及临床应用；胃壁细胞H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vertAlign w:val="superscript"/>
          <w:lang w:eastAsia="zh-Hans"/>
        </w:rPr>
        <w:t>+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泵抑制药奥美拉唑等等药理作用及临床应用；M受体阻断药哌仑西平、胃泌素受体阻断药丙谷胺等药理作用及临床应用；胃粘膜保护药硫糖铝、枸橼酸铋钾药理作用及临床应用；抗幽门螺旋菌药的作用特点及临床应用。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助消化药 止吐药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分类；苯海拉明、甲氧氯胺普、多潘立酮、昂丹司琼的药理作用及临床应用。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281" w:firstLineChars="1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（二十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四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）作用于血液及造血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系统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的药物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肝素药理作用及机制、临床应用、不良反应及禁忌症、药物相互作用；低分子量肝素作用特点及应用。香豆素类华法林药理作用及机制、临床应用、不良反应、药物相互作用。纤维蛋白溶解药链激酶、尿激酶药理作用、临床应用及不良反应。组织纤溶酶原激活因子药理作用及临床应用。氨甲苯酸)药理作用及临床应用。抗血小板药阿司匹林等药理作用及临床应用。促凝血药维生素K、凝血酶的药理作用及临床应用。抗贫血药铁剂、叶酸、维生素B12等药理作用、临床应用及不良反应。右旋糖酐药理作用、临床应用及不良反应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二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五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生殖功能调节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 xml:space="preserve"> 子宫平滑肌兴奋药 缩宫素的药理作用及机制、临床应用、不良反应及注意事项。麦角新碱的药理作用及临床应用、不良反应及注意事项。垂体后叶素、前列腺素的作用特点及临床应用。子宫平滑肌抑制药的药理作用及临床应用。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二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六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）肾上腺皮质激素类药物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肾上腺皮质激素类药物分类、构效关系。糖皮质激素的分类（短效、中效、长效）、体内过程、药理作用及机制、临床应用、不良反应及注意事项、禁忌症、用法与疗程。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二十七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）甲状腺激素及抗甲状腺药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甲状腺激素的合成、储存、分泌与调节。甲状腺激素的药理作用及机制、临床应用及不良反应。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抗甲状腺药物分类。硫脲类药物分类、药理作用及机制、临床应用、不良反应及注意事项、药物相互作用。碘及碘化物的药理作用、临床应用及不良反应。普萘洛尔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 xml:space="preserve">药理作用、临床应用及不良反应。放射性碘的药理作用、临床应用及不良反应。 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二十八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）胰岛素及口服降血糖药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胰岛素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体内过程、药理作用、作用机制、临床应用及不良反应。口服降血糖药分类；磺酰脲类的药理作用及作用机制、临床应用、不良反应、药物相互作用；双胍类药物作用特点及临床应用；胰岛素增敏药作用及机制、临床应用及不良反应；α-葡萄糖苷酶抑制剂作用特点及临床应用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二十九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）抗菌药物概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述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化学治疗学概念；机体、病原体与药物三者之间的关系。抗菌药物的常用术语：抗菌谱、抑菌药、杀菌药、最低抑菌浓度、最低杀菌浓度、化疗指数 、抗菌药的作用机制：抑制细菌细胞壁合成、改变胞质膜通透性、抑制蛋白质合成、影响核酸和叶酸代谢。细菌耐药性概念、耐药性产生机理及控制细菌耐药的措施。抗菌药的合理应用原则。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（三十）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抗生素</w:t>
      </w:r>
    </w:p>
    <w:p>
      <w:pPr>
        <w:spacing w:line="360" w:lineRule="auto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sym w:font="Symbol" w:char="F062"/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-内酰胺类抗生素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sym w:font="Symbol" w:char="F062"/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-内酰胺抗生素分类、抗菌作用机制和耐药机制。青霉素G体内过程、抗菌作用及临床用途、不良反应及防治、药物相互作用。半合成青霉素分类及代表药、各类作用特点及临床应用。头孢菌素的共性；各代头孢菌素的特点及用途。其他β-内酰胺类抗生素作用特点及临床应用。β-内酰胺酶抑制药作用及其复方制剂。</w:t>
      </w:r>
    </w:p>
    <w:p>
      <w:pPr>
        <w:spacing w:line="360" w:lineRule="auto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大环内酯类、林可霉素及其他类抗生素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大环内酯类抗生素分类、抗菌作用及机制、耐药机制、药代动力学。红霉素常用剂型、抗菌作用、临床应用及不良反应。克拉霉素、阿奇霉素抗菌特点及临床应用。林可霉素类抗生素抗菌作用及机制、临床应用及不良反应。万古霉素的抗菌作用及机制、抗菌特点、临床应用及不良反应。</w:t>
      </w:r>
    </w:p>
    <w:p>
      <w:pPr>
        <w:spacing w:line="360" w:lineRule="auto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氨基糖苷类抗生素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氨基糖苷类抗生素 主要药物、抗菌作用和机制、耐药机制、体内过程、临床应用及不良反应；常用的氨基糖苷类抗生素链霉素、庆大霉素、阿米卡星、妥布霉素、卡那霉素抗菌作用特点及临床应用。</w:t>
      </w:r>
    </w:p>
    <w:p>
      <w:pPr>
        <w:spacing w:line="360" w:lineRule="auto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四环素类及氯霉素类抗生素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四环素类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药物的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分类；四环素类抗菌作用特点、作用机制、耐药性、临床应用；四环素抗菌特点、体内过程、临床应用、不良反应及禁忌证；多烯环素、米诺环素抗菌特点及临床应用。氯霉素类抗菌特点、作用机制及耐药性、体内过程、临床应用及不良反应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三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一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）人工合成抗菌药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氟喹诺酮类抗菌药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分类抗菌作用、作用机制、耐药性、体内过程、临床应用、不良反应、禁忌症及药物相互作用。诺氟沙星、左氧氟沙星、环丙沙星等药物作用特点及临床应用。磺胺药分类、抗菌谱、作用机理、耐药性、体内过程、临床应用、不良反应及禁忌症。磺胺嘧啶、磺胺甲恶唑、磺胺嘧啶银等药物抗菌特点及临床应用。甲氧苄啶的抗菌作用原理、抗菌增效作用及应用。甲硝唑抗菌作用特点及临床应用。</w:t>
      </w:r>
    </w:p>
    <w:p>
      <w:pPr>
        <w:spacing w:line="360" w:lineRule="auto"/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</w:pPr>
    </w:p>
    <w:p>
      <w:pPr>
        <w:spacing w:line="360" w:lineRule="auto"/>
        <w:ind w:firstLine="562" w:firstLineChars="200"/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（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</w:rPr>
        <w:t>三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十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CN"/>
        </w:rPr>
        <w:t>二</w:t>
      </w:r>
      <w:r>
        <w:rPr>
          <w:rFonts w:hint="eastAsia" w:ascii="新宋体" w:hAnsi="新宋体" w:eastAsia="新宋体" w:cs="新宋体"/>
          <w:b/>
          <w:bCs/>
          <w:color w:val="auto"/>
          <w:kern w:val="0"/>
          <w:sz w:val="28"/>
          <w:szCs w:val="28"/>
          <w:lang w:eastAsia="zh-Hans"/>
        </w:rPr>
        <w:t>）抗结核药</w:t>
      </w:r>
    </w:p>
    <w:p>
      <w:pPr>
        <w:spacing w:line="360" w:lineRule="auto"/>
        <w:ind w:firstLine="560" w:firstLineChars="200"/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抗结核病药物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分类：一线抗结核药和二线抗结核药。异烟肼、利福平抗菌作用及机制、体内过程、临床应用、不良反应、药物相互作用。乙胺丁醇、链霉素、吡嗪酰胺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抗结核作用、临床应用及主要不良反应。对氨基水杨酸等作用特点及临床应用。结核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的药物治疗</w:t>
      </w: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  <w:t>原则。</w:t>
      </w:r>
    </w:p>
    <w:p>
      <w:pPr>
        <w:rPr>
          <w:rFonts w:hint="eastAsia" w:ascii="新宋体" w:hAnsi="新宋体" w:eastAsia="新宋体" w:cs="新宋体"/>
          <w:color w:val="auto"/>
          <w:kern w:val="0"/>
          <w:sz w:val="28"/>
          <w:szCs w:val="28"/>
          <w:lang w:eastAsia="zh-Hans"/>
        </w:rPr>
      </w:pPr>
    </w:p>
    <w:p>
      <w:pPr>
        <w:rPr>
          <w:rFonts w:hint="eastAsia" w:ascii="新宋体" w:hAnsi="新宋体" w:eastAsia="新宋体" w:cs="新宋体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5D"/>
    <w:rsid w:val="0019585D"/>
    <w:rsid w:val="005A66C7"/>
    <w:rsid w:val="009361AB"/>
    <w:rsid w:val="009C6CE0"/>
    <w:rsid w:val="00AD7B39"/>
    <w:rsid w:val="00B15C41"/>
    <w:rsid w:val="00C57D0C"/>
    <w:rsid w:val="029D68F7"/>
    <w:rsid w:val="08265589"/>
    <w:rsid w:val="09547A03"/>
    <w:rsid w:val="0B0F4C1E"/>
    <w:rsid w:val="13731906"/>
    <w:rsid w:val="180448D7"/>
    <w:rsid w:val="1FDD404A"/>
    <w:rsid w:val="2643204B"/>
    <w:rsid w:val="2A227305"/>
    <w:rsid w:val="2B1E6A6F"/>
    <w:rsid w:val="2C7D15CA"/>
    <w:rsid w:val="2FFD3AC4"/>
    <w:rsid w:val="30482A93"/>
    <w:rsid w:val="31442265"/>
    <w:rsid w:val="3DBE6E14"/>
    <w:rsid w:val="41B361EE"/>
    <w:rsid w:val="439E000C"/>
    <w:rsid w:val="4DA7409C"/>
    <w:rsid w:val="507A4FC9"/>
    <w:rsid w:val="52C1644E"/>
    <w:rsid w:val="55DD21A7"/>
    <w:rsid w:val="5C0C1C9B"/>
    <w:rsid w:val="67DD5B0A"/>
    <w:rsid w:val="68396EDE"/>
    <w:rsid w:val="6C015109"/>
    <w:rsid w:val="6F061BB6"/>
    <w:rsid w:val="7309629A"/>
    <w:rsid w:val="74884E17"/>
    <w:rsid w:val="770A355F"/>
    <w:rsid w:val="778F4EEE"/>
    <w:rsid w:val="7D85300D"/>
    <w:rsid w:val="7D92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10">
    <w:name w:val="Emphasis"/>
    <w:basedOn w:val="7"/>
    <w:qFormat/>
    <w:uiPriority w:val="20"/>
    <w:rPr>
      <w:i/>
    </w:rPr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semiHidden/>
    <w:unhideWhenUsed/>
    <w:qFormat/>
    <w:uiPriority w:val="99"/>
    <w:rPr>
      <w:color w:val="000000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 w:cs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Char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first"/>
    <w:basedOn w:val="7"/>
    <w:qFormat/>
    <w:uiPriority w:val="0"/>
  </w:style>
  <w:style w:type="character" w:customStyle="1" w:styleId="20">
    <w:name w:val="next"/>
    <w:basedOn w:val="7"/>
    <w:qFormat/>
    <w:uiPriority w:val="0"/>
  </w:style>
  <w:style w:type="character" w:customStyle="1" w:styleId="21">
    <w:name w:val="last1"/>
    <w:basedOn w:val="7"/>
    <w:qFormat/>
    <w:uiPriority w:val="0"/>
  </w:style>
  <w:style w:type="character" w:customStyle="1" w:styleId="22">
    <w:name w:val="previous1"/>
    <w:basedOn w:val="7"/>
    <w:qFormat/>
    <w:uiPriority w:val="0"/>
  </w:style>
  <w:style w:type="character" w:customStyle="1" w:styleId="23">
    <w:name w:val="first1"/>
    <w:basedOn w:val="7"/>
    <w:qFormat/>
    <w:uiPriority w:val="0"/>
  </w:style>
  <w:style w:type="character" w:customStyle="1" w:styleId="24">
    <w:name w:val="previous"/>
    <w:basedOn w:val="7"/>
    <w:qFormat/>
    <w:uiPriority w:val="0"/>
  </w:style>
  <w:style w:type="character" w:customStyle="1" w:styleId="25">
    <w:name w:val="las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10</Pages>
  <Words>888</Words>
  <Characters>5062</Characters>
  <Lines>42</Lines>
  <Paragraphs>11</Paragraphs>
  <TotalTime>0</TotalTime>
  <ScaleCrop>false</ScaleCrop>
  <LinksUpToDate>false</LinksUpToDate>
  <CharactersWithSpaces>5939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2020-04-12T00:42:00Z</dcterms:created>
  <dc:creator>DELL</dc:creator>
  <cp:lastModifiedBy>浅草蝶</cp:lastModifiedBy>
  <dcterms:modified xsi:type="dcterms:W3CDTF">2020-05-11T07:31:08Z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